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5C" w:rsidRDefault="001D075C">
      <w:pPr>
        <w:pStyle w:val="20"/>
        <w:shd w:val="clear" w:color="auto" w:fill="auto"/>
        <w:spacing w:before="0" w:after="0" w:line="283" w:lineRule="exact"/>
      </w:pPr>
    </w:p>
    <w:p w:rsidR="001D075C" w:rsidRDefault="001D075C">
      <w:pPr>
        <w:pStyle w:val="20"/>
        <w:shd w:val="clear" w:color="auto" w:fill="auto"/>
        <w:spacing w:before="0" w:after="0" w:line="283" w:lineRule="exact"/>
      </w:pPr>
    </w:p>
    <w:p w:rsidR="001D075C" w:rsidRDefault="001D075C">
      <w:pPr>
        <w:pStyle w:val="20"/>
        <w:shd w:val="clear" w:color="auto" w:fill="auto"/>
        <w:spacing w:before="0" w:after="0" w:line="283" w:lineRule="exact"/>
      </w:pPr>
    </w:p>
    <w:p w:rsidR="001D075C" w:rsidRDefault="001D075C">
      <w:pPr>
        <w:pStyle w:val="20"/>
        <w:shd w:val="clear" w:color="auto" w:fill="auto"/>
        <w:spacing w:before="0" w:after="0" w:line="283" w:lineRule="exact"/>
      </w:pPr>
      <w:bookmarkStart w:id="0" w:name="_GoBack"/>
      <w:bookmarkEnd w:id="0"/>
    </w:p>
    <w:p w:rsidR="001D075C" w:rsidRDefault="001D075C">
      <w:pPr>
        <w:pStyle w:val="20"/>
        <w:shd w:val="clear" w:color="auto" w:fill="auto"/>
        <w:spacing w:before="0" w:after="0" w:line="283" w:lineRule="exact"/>
      </w:pPr>
    </w:p>
    <w:p w:rsidR="001D075C" w:rsidRDefault="001D075C">
      <w:pPr>
        <w:pStyle w:val="20"/>
        <w:shd w:val="clear" w:color="auto" w:fill="auto"/>
        <w:spacing w:before="0" w:after="0" w:line="283" w:lineRule="exact"/>
      </w:pPr>
    </w:p>
    <w:p w:rsidR="001D075C" w:rsidRDefault="001D075C">
      <w:pPr>
        <w:pStyle w:val="20"/>
        <w:shd w:val="clear" w:color="auto" w:fill="auto"/>
        <w:spacing w:before="0" w:after="0" w:line="283" w:lineRule="exact"/>
      </w:pPr>
    </w:p>
    <w:p w:rsidR="00203F55" w:rsidRDefault="00AD39BA">
      <w:pPr>
        <w:pStyle w:val="20"/>
        <w:shd w:val="clear" w:color="auto" w:fill="auto"/>
        <w:spacing w:before="0" w:after="0" w:line="283" w:lineRule="exact"/>
      </w:pPr>
      <w:r>
        <w:t>О графике подключения кассовых суммирующих аппаратов, совмещенных с таксометрами</w:t>
      </w:r>
    </w:p>
    <w:p w:rsidR="00203F55" w:rsidRDefault="00AD39BA" w:rsidP="001D075C">
      <w:pPr>
        <w:pStyle w:val="30"/>
        <w:shd w:val="clear" w:color="auto" w:fill="auto"/>
        <w:ind w:right="20"/>
        <w:jc w:val="center"/>
        <w:rPr>
          <w:sz w:val="19"/>
          <w:szCs w:val="19"/>
        </w:rPr>
      </w:pPr>
      <w:r w:rsidRPr="001D075C">
        <w:rPr>
          <w:lang w:val="en-US"/>
        </w:rPr>
        <w:br/>
      </w:r>
    </w:p>
    <w:p w:rsidR="00203F55" w:rsidRDefault="00203F55">
      <w:pPr>
        <w:rPr>
          <w:sz w:val="2"/>
          <w:szCs w:val="2"/>
        </w:rPr>
        <w:sectPr w:rsidR="00203F55" w:rsidSect="001D075C">
          <w:type w:val="continuous"/>
          <w:pgSz w:w="11900" w:h="16840"/>
          <w:pgMar w:top="791" w:right="5663" w:bottom="867" w:left="1418" w:header="0" w:footer="3" w:gutter="0"/>
          <w:cols w:space="720"/>
          <w:noEndnote/>
          <w:docGrid w:linePitch="360"/>
        </w:sectPr>
      </w:pPr>
    </w:p>
    <w:p w:rsidR="0090793C" w:rsidRDefault="0090793C">
      <w:pPr>
        <w:pStyle w:val="20"/>
        <w:shd w:val="clear" w:color="auto" w:fill="auto"/>
        <w:spacing w:before="0" w:after="0" w:line="322" w:lineRule="exact"/>
        <w:ind w:firstLine="780"/>
        <w:jc w:val="both"/>
      </w:pPr>
      <w:r>
        <w:lastRenderedPageBreak/>
        <w:t>Д</w:t>
      </w:r>
      <w:r w:rsidR="00AD39BA">
        <w:t>ля обеспечения своевременного выполнения требований постановления Совета Министров Республики Беларусь и Национального банка Республики Беларусь 6 июля 2011 г. №924/16 в части перехода с 1 июля 2025 года на использование нового кассового оборудования,</w:t>
      </w:r>
      <w:r>
        <w:t xml:space="preserve"> инспекция Министерства по налогам и сборам Республики Беларусь по Пуховичскому району обращает внимание субъектов хозяйствования  на </w:t>
      </w:r>
      <w:r w:rsidR="00AD39BA">
        <w:t xml:space="preserve"> необходимость выполнения всех процедур и мероприятий по приобретению и/или завершению обновления (модернизации) кассовых суммирующих аппаратов, совмещенных с таксометрами</w:t>
      </w:r>
      <w:r>
        <w:t>.</w:t>
      </w:r>
    </w:p>
    <w:p w:rsidR="00203F55" w:rsidRDefault="00AD39BA">
      <w:pPr>
        <w:pStyle w:val="20"/>
        <w:shd w:val="clear" w:color="auto" w:fill="auto"/>
        <w:spacing w:before="0" w:after="0" w:line="322" w:lineRule="exact"/>
        <w:ind w:firstLine="780"/>
        <w:jc w:val="both"/>
      </w:pPr>
      <w:r>
        <w:t xml:space="preserve">Для приобретения </w:t>
      </w:r>
      <w:r w:rsidR="0090793C">
        <w:t xml:space="preserve">кассового суммирующего аппарата (далее – </w:t>
      </w:r>
      <w:r>
        <w:t>КСА</w:t>
      </w:r>
      <w:r w:rsidR="0090793C">
        <w:t>)</w:t>
      </w:r>
      <w:r>
        <w:t>, субъектам хозяйствования необходимо обращаться</w:t>
      </w:r>
      <w:r w:rsidR="0090793C">
        <w:t xml:space="preserve"> </w:t>
      </w:r>
      <w:r>
        <w:t xml:space="preserve"> в организации, с которыми заключены договоры,</w:t>
      </w:r>
      <w:r w:rsidR="0090793C">
        <w:t xml:space="preserve"> </w:t>
      </w:r>
      <w:r>
        <w:t>предоставляющие право осуществлять техническое обслуживание и ремонт кассового оборудования (далее - ЦТО)</w:t>
      </w:r>
      <w:r w:rsidR="00795BC3">
        <w:t>,  или к продавцам КСА</w:t>
      </w:r>
      <w:r>
        <w:t>.</w:t>
      </w:r>
    </w:p>
    <w:p w:rsidR="00203F55" w:rsidRDefault="00795BC3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О</w:t>
      </w:r>
      <w:r w:rsidR="00AD39BA">
        <w:t xml:space="preserve">бращать внимание, что информация о выполнении работ по доработке (обновлению) КСА вносится в </w:t>
      </w:r>
      <w:r>
        <w:t xml:space="preserve"> систему контроля кассового оборудования (далее –</w:t>
      </w:r>
      <w:r w:rsidR="00AD39BA">
        <w:t>СККО</w:t>
      </w:r>
      <w:r>
        <w:t>)</w:t>
      </w:r>
      <w:r w:rsidR="00AD39BA">
        <w:t xml:space="preserve"> в соответствии с Порядком взаимодействия Предприятия и центрами технического обслуживания и ремонта кассового оборудования (далее - ЦТО) по обеспечению подключения (перерегистрации) нового (доработанного) кассового оборудования к СККО (далее - Порядок взаимодействия). Уведомление (заявка) составляется ЦТО в виде таблицы (по форме согласно Порядку взаимодействия) и направляется Предприятию в электронном виде в формате </w:t>
      </w:r>
      <w:r w:rsidR="00AD39BA" w:rsidRPr="00B0048C">
        <w:rPr>
          <w:lang w:eastAsia="en-US" w:bidi="en-US"/>
        </w:rPr>
        <w:t>.</w:t>
      </w:r>
      <w:r w:rsidR="00AD39BA">
        <w:rPr>
          <w:lang w:val="en-US" w:eastAsia="en-US" w:bidi="en-US"/>
        </w:rPr>
        <w:t>xlsx</w:t>
      </w:r>
      <w:r w:rsidR="00AD39BA" w:rsidRPr="00B0048C">
        <w:rPr>
          <w:lang w:eastAsia="en-US" w:bidi="en-US"/>
        </w:rPr>
        <w:t xml:space="preserve"> </w:t>
      </w:r>
      <w:r w:rsidR="00AD39BA">
        <w:t xml:space="preserve">на адрес </w:t>
      </w:r>
      <w:hyperlink r:id="rId6" w:history="1">
        <w:r w:rsidR="00AD39BA">
          <w:rPr>
            <w:rStyle w:val="a3"/>
          </w:rPr>
          <w:t>zayavka@skno.by</w:t>
        </w:r>
      </w:hyperlink>
      <w:r w:rsidR="00AD39BA" w:rsidRPr="00B0048C">
        <w:rPr>
          <w:lang w:eastAsia="en-US" w:bidi="en-US"/>
        </w:rPr>
        <w:t xml:space="preserve"> </w:t>
      </w:r>
      <w:r w:rsidR="00AD39BA">
        <w:t>с приложением сканированной копии сопроводительного письма, подписанного ЦТО. Согласно Порядку взаимодействия заявки на внесение изменений в СККО информации об обновлении (модернизации) КСА на новую модель надлежит предоставлять Предприятию незамедлительно после передачи пользователю доработанного (обновленного) КСА.</w:t>
      </w:r>
    </w:p>
    <w:p w:rsidR="00203F55" w:rsidRDefault="00AD39BA">
      <w:pPr>
        <w:pStyle w:val="20"/>
        <w:shd w:val="clear" w:color="auto" w:fill="auto"/>
        <w:spacing w:before="0" w:after="393" w:line="322" w:lineRule="exact"/>
        <w:ind w:firstLine="740"/>
        <w:jc w:val="both"/>
      </w:pPr>
      <w:r>
        <w:t>Таким образом, для проведения работ по обновлению (модернизации) КСА на новую модель субъектам хозяйствования необходимо обращаться непосредственно в обслуживающий ЦТО.</w:t>
      </w:r>
    </w:p>
    <w:sectPr w:rsidR="00203F55">
      <w:type w:val="continuous"/>
      <w:pgSz w:w="11900" w:h="16840"/>
      <w:pgMar w:top="791" w:right="584" w:bottom="867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BA" w:rsidRDefault="00AD39BA">
      <w:r>
        <w:separator/>
      </w:r>
    </w:p>
  </w:endnote>
  <w:endnote w:type="continuationSeparator" w:id="0">
    <w:p w:rsidR="00AD39BA" w:rsidRDefault="00AD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BA" w:rsidRDefault="00AD39BA"/>
  </w:footnote>
  <w:footnote w:type="continuationSeparator" w:id="0">
    <w:p w:rsidR="00AD39BA" w:rsidRDefault="00AD39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55"/>
    <w:rsid w:val="001D075C"/>
    <w:rsid w:val="00203F55"/>
    <w:rsid w:val="00795BC3"/>
    <w:rsid w:val="0090793C"/>
    <w:rsid w:val="00AD39BA"/>
    <w:rsid w:val="00B0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0519"/>
  <w15:docId w15:val="{8248F125-C178-4A25-AE5D-D2A4BBC0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9">
    <w:name w:val="Основной текст (3) + 9"/>
    <w:aliases w:val="5 pt,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90">
    <w:name w:val="Основной текст (3) + 9"/>
    <w:aliases w:val="5 pt,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235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10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yavka@skno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4</cp:revision>
  <dcterms:created xsi:type="dcterms:W3CDTF">2025-06-03T05:39:00Z</dcterms:created>
  <dcterms:modified xsi:type="dcterms:W3CDTF">2025-06-03T05:53:00Z</dcterms:modified>
</cp:coreProperties>
</file>