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53F" w:rsidRPr="009C753F" w:rsidRDefault="009C753F" w:rsidP="009C753F">
      <w:pPr>
        <w:rPr>
          <w:b/>
        </w:rPr>
      </w:pPr>
      <w:r w:rsidRPr="009C753F">
        <w:rPr>
          <w:b/>
        </w:rPr>
        <w:t>Профилактика безнадзорности и правонарушений несовершеннолетних</w:t>
      </w:r>
    </w:p>
    <w:p w:rsidR="009C753F" w:rsidRPr="009C753F" w:rsidRDefault="009C753F" w:rsidP="009C753F">
      <w:pPr>
        <w:ind w:firstLine="708"/>
        <w:jc w:val="both"/>
      </w:pPr>
      <w:r w:rsidRPr="009C753F">
        <w:t> Вопросам профилактики безнадзорности и правонарушений несовершеннолетних уделяется большое внимание со стороны Президента, Правительства Республики Беларусь, а также заинтересованных министерств и ведомств. Для этого в республике сформирована широкая законодательная база, целенаправленно и последовательно реализуется ряд программ. В связи с этим 31 мая 2003 года был принят Закон Республики Беларусь «Об основах системы профилактики безнадзорности и правонарушений несовершеннолетних», который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 Законодательство Республики Беларусь, регулирующее деятельность по профилактике безнадзорности и правонарушений несовершеннолетних, основывается на Конституции Республики Беларусь, общепризнанных принципах международного права и состоит из вышеназванного Закона, Закона Республики Беларусь от 19 ноября 1993 года «О правах ребенка» и других актов законодательства Республики Беларусь.</w:t>
      </w:r>
    </w:p>
    <w:p w:rsidR="009C753F" w:rsidRPr="009C753F" w:rsidRDefault="009C753F" w:rsidP="009C753F">
      <w:r w:rsidRPr="009C753F">
        <w:t>    Впервые в законодательстве стали применяться такие термины и определения как:</w:t>
      </w:r>
    </w:p>
    <w:p w:rsidR="009C753F" w:rsidRPr="009C753F" w:rsidRDefault="009C753F" w:rsidP="009C753F">
      <w:r w:rsidRPr="009C753F">
        <w:t xml:space="preserve">    Безнадзорность – социальное явление, характеризующееся отсутствием надлежащего </w:t>
      </w:r>
      <w:proofErr w:type="gramStart"/>
      <w:r w:rsidRPr="009C753F">
        <w:t>контроля за</w:t>
      </w:r>
      <w:proofErr w:type="gramEnd"/>
      <w:r w:rsidRPr="009C753F">
        <w:t xml:space="preserve"> поведением и образом жизни несовершеннолетних, способствующее совершению ими правонарушений.</w:t>
      </w:r>
    </w:p>
    <w:p w:rsidR="009C753F" w:rsidRPr="009C753F" w:rsidRDefault="009C753F" w:rsidP="009C753F">
      <w:r w:rsidRPr="009C753F">
        <w:t xml:space="preserve">    Безнадзорный – лицо в возрасте до 18 лет, </w:t>
      </w:r>
      <w:proofErr w:type="gramStart"/>
      <w:r w:rsidRPr="009C753F">
        <w:t>контроль</w:t>
      </w:r>
      <w:proofErr w:type="gramEnd"/>
      <w:r w:rsidRPr="009C753F">
        <w:t xml:space="preserve"> за поведением которого отсутствует вследствие неисполнения или ненадлежащего исполнения обязанностей по его воспитанию, обучению или содержанию со стороны родителей, усыновителей, опекунов или попечителей или вследствие самовольного ухода его из дома или детского </w:t>
      </w:r>
      <w:proofErr w:type="spellStart"/>
      <w:r w:rsidRPr="009C753F">
        <w:t>интернатного</w:t>
      </w:r>
      <w:proofErr w:type="spellEnd"/>
      <w:r w:rsidRPr="009C753F">
        <w:t xml:space="preserve"> учреждения.</w:t>
      </w:r>
    </w:p>
    <w:p w:rsidR="009C753F" w:rsidRPr="009C753F" w:rsidRDefault="009C753F" w:rsidP="009C753F">
      <w:r w:rsidRPr="009C753F">
        <w:t>    Беспризорный – безнадзорный, не имеющий места жительства.</w:t>
      </w:r>
    </w:p>
    <w:p w:rsidR="009C753F" w:rsidRPr="009C753F" w:rsidRDefault="009C753F" w:rsidP="009C753F">
      <w:r w:rsidRPr="009C753F">
        <w:t xml:space="preserve">    </w:t>
      </w:r>
      <w:proofErr w:type="gramStart"/>
      <w:r w:rsidRPr="009C753F">
        <w:t>Несовершеннолетний, находящийся в социально-опасном положении – лицо в возрасте до 18 лет,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правонарушения или иные антиобщественные действия.</w:t>
      </w:r>
      <w:proofErr w:type="gramEnd"/>
    </w:p>
    <w:p w:rsidR="009C753F" w:rsidRPr="009C753F" w:rsidRDefault="009C753F" w:rsidP="009C753F">
      <w:r w:rsidRPr="009C753F">
        <w:t>    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социально-психолого-педагогической реабилитации или предупреждению совершения несовершеннолетними правонарушений либо иных антиобщественных действий.</w:t>
      </w:r>
    </w:p>
    <w:p w:rsidR="009C753F" w:rsidRPr="009C753F" w:rsidRDefault="009C753F" w:rsidP="009C753F">
      <w:r w:rsidRPr="009C753F">
        <w:t>    Профилактика безнадзорности и правонарушений несовершеннолетних – система социальных, правовых и иных мер, которые направлены на выявление и устранение причин и условий, способствующих безнадзорности, беспризорности, совершению несовершеннолетними правонарушений или иных антиобщественных действий, и осуществляются в совокупности с индивидуальной профилактической работой с несовершеннолетними и семьями, находящимися в социально опасном положении;</w:t>
      </w:r>
    </w:p>
    <w:p w:rsidR="009C753F" w:rsidRPr="009C753F" w:rsidRDefault="009C753F" w:rsidP="009C753F">
      <w:r w:rsidRPr="009C753F">
        <w:t xml:space="preserve">    </w:t>
      </w:r>
      <w:proofErr w:type="gramStart"/>
      <w:r w:rsidRPr="009C753F">
        <w:t>Согласно Закона</w:t>
      </w:r>
      <w:proofErr w:type="gramEnd"/>
      <w:r w:rsidRPr="009C753F">
        <w:t xml:space="preserve"> «О правах ребенка» задача защиты и гарантии детства, семьи и материнства имеет огромное значение для правильного понимания сущности деятельности государства по профилактике преступности несовершеннолетних. Основу профилактической работы составляет </w:t>
      </w:r>
      <w:r w:rsidRPr="009C753F">
        <w:lastRenderedPageBreak/>
        <w:t xml:space="preserve">формирование нравственной личности ребенка, для чего государство обязуется обеспечить максимально возможные условия. Именно таким образом государство стремится к предотвращению конфликта несовершеннолетних с законом на более ранней, </w:t>
      </w:r>
      <w:proofErr w:type="spellStart"/>
      <w:r w:rsidRPr="009C753F">
        <w:t>предконфликтной</w:t>
      </w:r>
      <w:proofErr w:type="spellEnd"/>
      <w:r w:rsidRPr="009C753F">
        <w:t xml:space="preserve"> стадии.</w:t>
      </w:r>
    </w:p>
    <w:p w:rsidR="009C753F" w:rsidRPr="009C753F" w:rsidRDefault="009C753F" w:rsidP="009C753F">
      <w:r w:rsidRPr="009C753F">
        <w:t>    Государственные гарантии становления и развития будущих граждан реализуются по двум основным направлениям:</w:t>
      </w:r>
    </w:p>
    <w:p w:rsidR="009C753F" w:rsidRPr="009C753F" w:rsidRDefault="009C753F" w:rsidP="009C753F">
      <w:r w:rsidRPr="009C753F">
        <w:t>· Обеспечение социальных и экономических условий жизни несовершеннолетних;</w:t>
      </w:r>
    </w:p>
    <w:p w:rsidR="009C753F" w:rsidRPr="009C753F" w:rsidRDefault="009C753F" w:rsidP="009C753F">
      <w:r w:rsidRPr="009C753F">
        <w:t>· Предотвращение воздействия на несовершеннолетних негативных факторов, способствующих формированию их асоциального поведения.</w:t>
      </w:r>
    </w:p>
    <w:p w:rsidR="009C753F" w:rsidRPr="009C753F" w:rsidRDefault="009C753F" w:rsidP="009C753F">
      <w:r w:rsidRPr="009C753F">
        <w:t>    Осуществление профилактики безнадзорности и правонарушений несовершеннолетних возложено государством на различные органы, учреждения и организации, которые в силу своей компетенции выполняют соответствующие функции по предупреждению детской безнадзорности.</w:t>
      </w:r>
    </w:p>
    <w:p w:rsidR="009C753F" w:rsidRPr="009C753F" w:rsidRDefault="009C753F" w:rsidP="009C753F">
      <w:r w:rsidRPr="009C753F">
        <w:t>    К ним относятся:</w:t>
      </w:r>
    </w:p>
    <w:p w:rsidR="009C753F" w:rsidRPr="009C753F" w:rsidRDefault="009C753F" w:rsidP="009C753F">
      <w:r w:rsidRPr="009C753F">
        <w:t>- комиссии по делам несовершеннолетних;</w:t>
      </w:r>
    </w:p>
    <w:p w:rsidR="009C753F" w:rsidRPr="009C753F" w:rsidRDefault="009C753F" w:rsidP="009C753F">
      <w:r w:rsidRPr="009C753F">
        <w:t>- органы государственного управления образованием;</w:t>
      </w:r>
    </w:p>
    <w:p w:rsidR="009C753F" w:rsidRPr="009C753F" w:rsidRDefault="009C753F" w:rsidP="009C753F">
      <w:r w:rsidRPr="009C753F">
        <w:t>- органы опеки и попечительства;</w:t>
      </w:r>
    </w:p>
    <w:p w:rsidR="009C753F" w:rsidRPr="009C753F" w:rsidRDefault="009C753F" w:rsidP="009C753F">
      <w:r w:rsidRPr="009C753F">
        <w:t>- органы по труду и социальной защите;</w:t>
      </w:r>
    </w:p>
    <w:p w:rsidR="009C753F" w:rsidRPr="009C753F" w:rsidRDefault="009C753F" w:rsidP="009C753F">
      <w:r w:rsidRPr="009C753F">
        <w:t>- органы государственного управления здравоохранением;</w:t>
      </w:r>
    </w:p>
    <w:p w:rsidR="009C753F" w:rsidRPr="009C753F" w:rsidRDefault="009C753F" w:rsidP="009C753F">
      <w:r w:rsidRPr="009C753F">
        <w:t>- органы государственной службы занятости;</w:t>
      </w:r>
    </w:p>
    <w:p w:rsidR="009C753F" w:rsidRPr="009C753F" w:rsidRDefault="009C753F" w:rsidP="009C753F">
      <w:r w:rsidRPr="009C753F">
        <w:t>- органы внутренних дел;</w:t>
      </w:r>
    </w:p>
    <w:p w:rsidR="009C753F" w:rsidRPr="009C753F" w:rsidRDefault="009C753F" w:rsidP="009C753F">
      <w:r w:rsidRPr="009C753F">
        <w:t>- иные органы, учреждения и организации в пределах своей компетенции.</w:t>
      </w:r>
    </w:p>
    <w:p w:rsidR="009C753F" w:rsidRPr="009C753F" w:rsidRDefault="009C753F" w:rsidP="009C753F">
      <w:r w:rsidRPr="009C753F">
        <w:t xml:space="preserve">     Основные направления деятельности органов, учреждений и </w:t>
      </w:r>
      <w:proofErr w:type="gramStart"/>
      <w:r w:rsidRPr="009C753F">
        <w:t>иных организаций, осуществляющих профилактику безнадзорности и правонарушений несовершеннолетних закреплены</w:t>
      </w:r>
      <w:proofErr w:type="gramEnd"/>
      <w:r w:rsidRPr="009C753F">
        <w:t xml:space="preserve"> в главе 2 Закона «Об основах системы профилактики безнадзорности и правонарушений несовершеннолетних» в ст. ст. 12 –24.</w:t>
      </w:r>
    </w:p>
    <w:p w:rsidR="009C753F" w:rsidRPr="009C753F" w:rsidRDefault="009C753F" w:rsidP="009C753F">
      <w:r w:rsidRPr="009C753F">
        <w:t>    Специальными подразделениями ОВД, осуществляющими меры по профилактике безнадзорности и правонарушений несовершеннолетних, являются:</w:t>
      </w:r>
    </w:p>
    <w:p w:rsidR="009C753F" w:rsidRPr="009C753F" w:rsidRDefault="009C753F" w:rsidP="009C753F">
      <w:r w:rsidRPr="009C753F">
        <w:t>- инспекции по делам несовершеннолетних;</w:t>
      </w:r>
    </w:p>
    <w:p w:rsidR="009C753F" w:rsidRPr="009C753F" w:rsidRDefault="009C753F" w:rsidP="009C753F">
      <w:r w:rsidRPr="009C753F">
        <w:t>- приемники-распределители для несовершеннолетних.</w:t>
      </w:r>
    </w:p>
    <w:p w:rsidR="009C753F" w:rsidRPr="009C753F" w:rsidRDefault="009C753F" w:rsidP="009C753F">
      <w:r w:rsidRPr="009C753F">
        <w:t>    Другие подразделения О</w:t>
      </w:r>
      <w:proofErr w:type="gramStart"/>
      <w:r w:rsidRPr="009C753F">
        <w:t>ВД в пр</w:t>
      </w:r>
      <w:proofErr w:type="gramEnd"/>
      <w:r w:rsidRPr="009C753F">
        <w:t>еделах своей компетенции принимают участие в профилактике безнадзорности и правонарушений несовершеннолетних, а также оказывают необходимое содействие инспекциям по делам несовершеннолетних и приемникам-распределителям для несовершеннолетних.</w:t>
      </w:r>
    </w:p>
    <w:p w:rsidR="009C753F" w:rsidRPr="009C753F" w:rsidRDefault="009C753F" w:rsidP="009C753F">
      <w:r w:rsidRPr="009C753F">
        <w:lastRenderedPageBreak/>
        <w:t>    Инспекции по делам несовершеннолетних в порядке, определенном Министерством внутренних дел Республики Беларусь:</w:t>
      </w:r>
    </w:p>
    <w:p w:rsidR="009C753F" w:rsidRPr="009C753F" w:rsidRDefault="009C753F" w:rsidP="009C753F">
      <w:r w:rsidRPr="009C753F">
        <w:t>   выявляют лиц, вовлекающих несовершеннолетних в совершение правонарушений либо совершающих в отношении несовершеннолетних правонарушения, а также родителей, опекунов или попечителей несовершеннолетних, не исполняющих или ненадлежащим образом исполняющих свои обязанности по воспитанию и содержанию несовершеннолетних, и в установленном порядке вносят предложения о применении к ним мер, предусмотренных законодательством;</w:t>
      </w:r>
    </w:p>
    <w:p w:rsidR="009C753F" w:rsidRPr="009C753F" w:rsidRDefault="009C753F" w:rsidP="009C753F">
      <w:r w:rsidRPr="009C753F">
        <w:t>   осуществляют в пределах своей компетенции меры по выявлению несовершеннолетних, объявленных в розыск, а также несовершеннолетних, находящихся в социально опасном положении, в том числе нуждающихся в государственной защите, и в установленном порядке направляют их в соответствующие органы или учреждения, осуществляющие профилактику безнадзорности и правонарушений несовершеннолетних, либо в иные учреждения;</w:t>
      </w:r>
    </w:p>
    <w:p w:rsidR="009C753F" w:rsidRPr="009C753F" w:rsidRDefault="009C753F" w:rsidP="009C753F">
      <w:r w:rsidRPr="009C753F">
        <w:t>   участвуют в подготовке материалов в отношении лиц, указанных в </w:t>
      </w:r>
      <w:hyperlink r:id="rId6" w:history="1">
        <w:r w:rsidRPr="009C753F">
          <w:rPr>
            <w:rStyle w:val="a3"/>
            <w:b/>
            <w:bCs/>
          </w:rPr>
          <w:t>части второй статьи 22</w:t>
        </w:r>
      </w:hyperlink>
      <w:r w:rsidRPr="009C753F">
        <w:t> Закона, для рассмотрения возможности их помещения в приемники-распределители для несовершеннолетних;</w:t>
      </w:r>
    </w:p>
    <w:p w:rsidR="009C753F" w:rsidRPr="009C753F" w:rsidRDefault="009C753F" w:rsidP="009C753F">
      <w:r w:rsidRPr="009C753F">
        <w:t>   участвуют в подготовке материалов, необходимых для внесения в суд предложений о применении к несовершеннолетним, их родителям, опекунам или попечителям мер воздействия, предусмотренных законодательством;</w:t>
      </w:r>
    </w:p>
    <w:p w:rsidR="009C753F" w:rsidRPr="009C753F" w:rsidRDefault="009C753F" w:rsidP="009C753F">
      <w:r w:rsidRPr="009C753F">
        <w:t>   вносят предложения о применении к несовершеннолетним мер воздействия в случаях и порядке, предусмотренных законодательством;</w:t>
      </w:r>
    </w:p>
    <w:p w:rsidR="009C753F" w:rsidRPr="009C753F" w:rsidRDefault="009C753F" w:rsidP="009C753F">
      <w:r w:rsidRPr="009C753F">
        <w:t>информируют заинтересованные органы, учреждения и иные организации о фактах безнадзорности, правонарушений несовершеннолетних, а также им способствующих причинах и условиях;</w:t>
      </w:r>
    </w:p>
    <w:p w:rsidR="009C753F" w:rsidRPr="009C753F" w:rsidRDefault="009C753F" w:rsidP="009C753F">
      <w:r w:rsidRPr="009C753F">
        <w:t>   уведомляют родителей, опекунов или попечителей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правонарушений;</w:t>
      </w:r>
    </w:p>
    <w:p w:rsidR="009C753F" w:rsidRPr="009C753F" w:rsidRDefault="009C753F" w:rsidP="009C753F">
      <w:r w:rsidRPr="009C753F">
        <w:t xml:space="preserve">   </w:t>
      </w:r>
      <w:proofErr w:type="gramStart"/>
      <w:r w:rsidRPr="009C753F">
        <w:t>проводят индивидуальную профилактическую работу в отношении достигших десяти лет несовершеннолетних, указанных в </w:t>
      </w:r>
      <w:hyperlink r:id="rId7" w:history="1">
        <w:r w:rsidRPr="009C753F">
          <w:rPr>
            <w:rStyle w:val="a3"/>
            <w:b/>
            <w:bCs/>
          </w:rPr>
          <w:t>абзацах шестом</w:t>
        </w:r>
      </w:hyperlink>
      <w:r w:rsidRPr="009C753F">
        <w:t>, </w:t>
      </w:r>
      <w:hyperlink r:id="rId8" w:history="1">
        <w:r w:rsidRPr="009C753F">
          <w:rPr>
            <w:rStyle w:val="a3"/>
            <w:b/>
            <w:bCs/>
          </w:rPr>
          <w:t>девятом</w:t>
        </w:r>
      </w:hyperlink>
      <w:r w:rsidRPr="009C753F">
        <w:t> - </w:t>
      </w:r>
      <w:hyperlink r:id="rId9" w:history="1">
        <w:r w:rsidRPr="009C753F">
          <w:rPr>
            <w:rStyle w:val="a3"/>
            <w:b/>
            <w:bCs/>
          </w:rPr>
          <w:t>восемнадцатом части первой статьи 5</w:t>
        </w:r>
      </w:hyperlink>
      <w:r w:rsidRPr="009C753F">
        <w:t> Закона, привлеченных к административной ответственности за совершение административных правонарушений, предусмотренных </w:t>
      </w:r>
      <w:hyperlink r:id="rId10" w:history="1">
        <w:r w:rsidRPr="009C753F">
          <w:rPr>
            <w:rStyle w:val="a3"/>
            <w:b/>
            <w:bCs/>
          </w:rPr>
          <w:t>статьей 9.1</w:t>
        </w:r>
      </w:hyperlink>
      <w:r w:rsidRPr="009C753F">
        <w:t>, или </w:t>
      </w:r>
      <w:hyperlink r:id="rId11" w:history="1">
        <w:r w:rsidRPr="009C753F">
          <w:rPr>
            <w:rStyle w:val="a3"/>
            <w:b/>
            <w:bCs/>
          </w:rPr>
          <w:t>главой 10</w:t>
        </w:r>
      </w:hyperlink>
      <w:r w:rsidRPr="009C753F">
        <w:t>, или </w:t>
      </w:r>
      <w:hyperlink r:id="rId12" w:history="1">
        <w:r w:rsidRPr="009C753F">
          <w:rPr>
            <w:rStyle w:val="a3"/>
            <w:b/>
            <w:bCs/>
          </w:rPr>
          <w:t>статьями 15.29</w:t>
        </w:r>
      </w:hyperlink>
      <w:r w:rsidRPr="009C753F">
        <w:t>, или </w:t>
      </w:r>
      <w:hyperlink r:id="rId13" w:history="1">
        <w:r w:rsidRPr="009C753F">
          <w:rPr>
            <w:rStyle w:val="a3"/>
            <w:b/>
            <w:bCs/>
          </w:rPr>
          <w:t>15.45</w:t>
        </w:r>
      </w:hyperlink>
      <w:r w:rsidRPr="009C753F">
        <w:t>, или </w:t>
      </w:r>
      <w:hyperlink r:id="rId14" w:history="1">
        <w:r w:rsidRPr="009C753F">
          <w:rPr>
            <w:rStyle w:val="a3"/>
            <w:b/>
            <w:bCs/>
          </w:rPr>
          <w:t>15.58</w:t>
        </w:r>
      </w:hyperlink>
      <w:r w:rsidRPr="009C753F">
        <w:t>, или</w:t>
      </w:r>
      <w:proofErr w:type="gramEnd"/>
      <w:r w:rsidRPr="009C753F">
        <w:t> </w:t>
      </w:r>
      <w:hyperlink r:id="rId15" w:history="1">
        <w:r w:rsidRPr="009C753F">
          <w:rPr>
            <w:rStyle w:val="a3"/>
            <w:b/>
            <w:bCs/>
          </w:rPr>
          <w:t>главой 17</w:t>
        </w:r>
      </w:hyperlink>
      <w:r w:rsidRPr="009C753F">
        <w:t>, или </w:t>
      </w:r>
      <w:hyperlink r:id="rId16" w:history="1">
        <w:r w:rsidRPr="009C753F">
          <w:rPr>
            <w:rStyle w:val="a3"/>
            <w:b/>
            <w:bCs/>
          </w:rPr>
          <w:t>статьями 18.3</w:t>
        </w:r>
      </w:hyperlink>
      <w:r w:rsidRPr="009C753F">
        <w:t>, или </w:t>
      </w:r>
      <w:hyperlink r:id="rId17" w:history="1">
        <w:r w:rsidRPr="009C753F">
          <w:rPr>
            <w:rStyle w:val="a3"/>
            <w:b/>
            <w:bCs/>
          </w:rPr>
          <w:t>18.10</w:t>
        </w:r>
      </w:hyperlink>
      <w:r w:rsidRPr="009C753F">
        <w:t>, или </w:t>
      </w:r>
      <w:hyperlink r:id="rId18" w:history="1">
        <w:r w:rsidRPr="009C753F">
          <w:rPr>
            <w:rStyle w:val="a3"/>
            <w:b/>
            <w:bCs/>
          </w:rPr>
          <w:t>18.16</w:t>
        </w:r>
      </w:hyperlink>
      <w:r w:rsidRPr="009C753F">
        <w:t>, или </w:t>
      </w:r>
      <w:hyperlink r:id="rId19" w:history="1">
        <w:r w:rsidRPr="009C753F">
          <w:rPr>
            <w:rStyle w:val="a3"/>
            <w:b/>
            <w:bCs/>
          </w:rPr>
          <w:t>18.19</w:t>
        </w:r>
      </w:hyperlink>
      <w:r w:rsidRPr="009C753F">
        <w:t>, или </w:t>
      </w:r>
      <w:hyperlink r:id="rId20" w:history="1">
        <w:r w:rsidRPr="009C753F">
          <w:rPr>
            <w:rStyle w:val="a3"/>
            <w:b/>
            <w:bCs/>
          </w:rPr>
          <w:t>18.34</w:t>
        </w:r>
      </w:hyperlink>
      <w:r w:rsidRPr="009C753F">
        <w:t>, или </w:t>
      </w:r>
      <w:hyperlink r:id="rId21" w:history="1">
        <w:r w:rsidRPr="009C753F">
          <w:rPr>
            <w:rStyle w:val="a3"/>
            <w:b/>
            <w:bCs/>
          </w:rPr>
          <w:t>19.4</w:t>
        </w:r>
      </w:hyperlink>
      <w:r w:rsidRPr="009C753F">
        <w:t>, или </w:t>
      </w:r>
      <w:hyperlink r:id="rId22" w:history="1">
        <w:r w:rsidRPr="009C753F">
          <w:rPr>
            <w:rStyle w:val="a3"/>
            <w:b/>
            <w:bCs/>
          </w:rPr>
          <w:t>19.7</w:t>
        </w:r>
      </w:hyperlink>
      <w:r w:rsidRPr="009C753F">
        <w:t>, или </w:t>
      </w:r>
      <w:hyperlink r:id="rId23" w:history="1">
        <w:r w:rsidRPr="009C753F">
          <w:rPr>
            <w:rStyle w:val="a3"/>
            <w:b/>
            <w:bCs/>
          </w:rPr>
          <w:t>23.4</w:t>
        </w:r>
      </w:hyperlink>
      <w:r w:rsidRPr="009C753F">
        <w:t>, или </w:t>
      </w:r>
      <w:hyperlink r:id="rId24" w:history="1">
        <w:r w:rsidRPr="009C753F">
          <w:rPr>
            <w:rStyle w:val="a3"/>
            <w:b/>
            <w:bCs/>
          </w:rPr>
          <w:t>23.46</w:t>
        </w:r>
      </w:hyperlink>
      <w:r w:rsidRPr="009C753F">
        <w:t>, или </w:t>
      </w:r>
      <w:hyperlink r:id="rId25" w:history="1">
        <w:r w:rsidRPr="009C753F">
          <w:rPr>
            <w:rStyle w:val="a3"/>
            <w:b/>
            <w:bCs/>
          </w:rPr>
          <w:t>23.47</w:t>
        </w:r>
      </w:hyperlink>
      <w:r w:rsidRPr="009C753F">
        <w:t> Кодекса Республики Беларусь об административных правонарушениях, совершивших деяния, содержащие признаки указанных административных правонарушений, но не достигших на день совершения таких деяний возраста, с которого наступает административная ответственность, а также их родителей, которые не исполняют или ненадлежащим образом исполняют обязанности по воспитанию и содержанию несовершеннолетних;</w:t>
      </w:r>
    </w:p>
    <w:p w:rsidR="009C753F" w:rsidRPr="009C753F" w:rsidRDefault="009C753F" w:rsidP="009C753F">
      <w:r w:rsidRPr="009C753F">
        <w:t xml:space="preserve">   изучают состояние воспитательной работы с несовершеннолетними, с которыми инспекциями по делам несовершеннолетних проводится индивидуальная профилактическая работа, в учебных, культурно-развлекательных, спортивно-оздоровительных учреждениях, иных организациях, </w:t>
      </w:r>
      <w:r w:rsidRPr="009C753F">
        <w:lastRenderedPageBreak/>
        <w:t>кружках и клубах по месту жительства (месту пребывания), а также по месту учебы (работы) несовершеннолетних;</w:t>
      </w:r>
    </w:p>
    <w:p w:rsidR="009C753F" w:rsidRPr="009C753F" w:rsidRDefault="009C753F" w:rsidP="009C753F">
      <w:r w:rsidRPr="009C753F">
        <w:t>   доставляют в подразделения органов внутренних дел несовершеннолетних, совершивших правонарушения, а также безнадзорных и беспризорных;</w:t>
      </w:r>
    </w:p>
    <w:p w:rsidR="009C753F" w:rsidRPr="009C753F" w:rsidRDefault="009C753F" w:rsidP="009C753F">
      <w:r w:rsidRPr="009C753F">
        <w:t>   вносят в соответствующие государственные органы и иные организации предложения о применении мер воздействия, предусмотренных законодательством, в отношении несовершеннолетних, совершивших правонарушения, их родителей, опекунов или попечителей, не исполняющих или ненадлежащим образом исполняющих свои обязанности по воспитанию и содержанию несовершеннолетних;</w:t>
      </w:r>
    </w:p>
    <w:p w:rsidR="009C753F" w:rsidRPr="009C753F" w:rsidRDefault="009C753F" w:rsidP="009C753F">
      <w:r w:rsidRPr="009C753F">
        <w:t>   вносят в соответствующие государственные органы и иные организации предложения об устранении причин и условий, способствующих совершению несовершеннолетними правонарушений. Государственные органы и иные организации обязаны в месячный срок со дня поступления указанных предложений сообщить инспекциям по делам несовершеннолетних о мерах, принятых в результате рассмотрения внесенных предложений;</w:t>
      </w:r>
    </w:p>
    <w:p w:rsidR="009C753F" w:rsidRPr="009C753F" w:rsidRDefault="009C753F" w:rsidP="009C753F">
      <w:r w:rsidRPr="009C753F">
        <w:t>   принимают участие в рассмотрении соответствующими государственными органами материалов о правонарушениях несовершеннолетних, их родителей, опекунов или попечителей;</w:t>
      </w:r>
    </w:p>
    <w:p w:rsidR="009C753F" w:rsidRPr="009C753F" w:rsidRDefault="009C753F" w:rsidP="009C753F">
      <w:r w:rsidRPr="009C753F">
        <w:t>   проводят в пределах своей компетенции анализ правонарушений, совершаемых несовершеннолетними, на основе которого готовят для комиссии по делам несовершеннолетних информацию о принимаемых органами внутренних дел мерах по предупреждению безнадзорности и правонарушений несовершеннолетних;</w:t>
      </w:r>
    </w:p>
    <w:p w:rsidR="009C753F" w:rsidRPr="009C753F" w:rsidRDefault="009C753F" w:rsidP="009C753F">
      <w:r w:rsidRPr="009C753F">
        <w:t>   осуществляют иные полномочия по профилактике безнадзорности и правонарушений несовершеннолетних, предусмотренные законодательством.</w:t>
      </w:r>
    </w:p>
    <w:p w:rsidR="009C753F" w:rsidRPr="009C753F" w:rsidRDefault="009C753F" w:rsidP="009C753F">
      <w:r w:rsidRPr="009C753F">
        <w:t>     Р</w:t>
      </w:r>
      <w:r w:rsidRPr="009C753F">
        <w:rPr>
          <w:lang w:val="be-BY"/>
        </w:rPr>
        <w:t>уководство деятельностью ИДН возлагается на начальников милиции общественной безопасности горрайорганов, отделов внутренних дел на транспорте. </w:t>
      </w:r>
      <w:r w:rsidRPr="009C753F">
        <w:t>Специальным подразделением органов внутренних дел, осуществляющим меры по профилактике безнадзорности и правонарушений несовершеннолетних, является приемник-распределитель для несовершеннолетних, который в пределах своей компетенции:</w:t>
      </w:r>
    </w:p>
    <w:p w:rsidR="009C753F" w:rsidRPr="009C753F" w:rsidRDefault="009C753F" w:rsidP="009C753F">
      <w:pPr>
        <w:numPr>
          <w:ilvl w:val="0"/>
          <w:numId w:val="1"/>
        </w:numPr>
      </w:pPr>
      <w:r w:rsidRPr="009C753F">
        <w:t>обеспечивает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bookmarkStart w:id="0" w:name="_GoBack"/>
      <w:bookmarkEnd w:id="0"/>
    </w:p>
    <w:p w:rsidR="009C753F" w:rsidRPr="009C753F" w:rsidRDefault="009C753F" w:rsidP="009C753F">
      <w:pPr>
        <w:numPr>
          <w:ilvl w:val="0"/>
          <w:numId w:val="1"/>
        </w:numPr>
      </w:pPr>
      <w:proofErr w:type="gramStart"/>
      <w:r w:rsidRPr="009C753F">
        <w:t>проводит индивидуальную профилактическую работу с доставленными несовершеннолетними, выявляет причины и условия, способствующие безнадзорности, беспризорности, совершению несовершеннолетними правонарушений или иных антиобщественных действий, и информирует об этом заинтересованные органы, учреждения и иные организации;</w:t>
      </w:r>
      <w:proofErr w:type="gramEnd"/>
    </w:p>
    <w:p w:rsidR="009C753F" w:rsidRPr="009C753F" w:rsidRDefault="009C753F" w:rsidP="009C753F">
      <w:pPr>
        <w:numPr>
          <w:ilvl w:val="0"/>
          <w:numId w:val="1"/>
        </w:numPr>
      </w:pPr>
      <w:r w:rsidRPr="009C753F">
        <w:t>доставляет несовершеннолетних в специальные учебно-воспитательные и лечебно-воспитательные учреждения, а также осуществляет иные меры по устройству несовершеннолетних, содержащихся в указанных учреждениях.</w:t>
      </w:r>
    </w:p>
    <w:p w:rsidR="009C753F" w:rsidRPr="009C753F" w:rsidRDefault="009C753F" w:rsidP="009C753F">
      <w:r w:rsidRPr="009C753F">
        <w:t>    </w:t>
      </w:r>
    </w:p>
    <w:p w:rsidR="00A9773F" w:rsidRDefault="00A9773F"/>
    <w:sectPr w:rsidR="00A977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46D9A"/>
    <w:multiLevelType w:val="multilevel"/>
    <w:tmpl w:val="D7BA9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767"/>
    <w:rsid w:val="009C753F"/>
    <w:rsid w:val="00A9773F"/>
    <w:rsid w:val="00B037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C75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C75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711060">
      <w:bodyDiv w:val="1"/>
      <w:marLeft w:val="0"/>
      <w:marRight w:val="0"/>
      <w:marTop w:val="0"/>
      <w:marBottom w:val="0"/>
      <w:divBdr>
        <w:top w:val="none" w:sz="0" w:space="0" w:color="auto"/>
        <w:left w:val="none" w:sz="0" w:space="0" w:color="auto"/>
        <w:bottom w:val="none" w:sz="0" w:space="0" w:color="auto"/>
        <w:right w:val="none" w:sz="0" w:space="0" w:color="auto"/>
      </w:divBdr>
    </w:div>
    <w:div w:id="175901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50BE35BBAF68F64A04EC572195EC89D7704E51CA95388165E135A246FFC3BD2D38724AF7C28F2958AC5D907766CAC819BC307FD93DE8599899E30854D6j0L" TargetMode="External"/><Relationship Id="rId13" Type="http://schemas.openxmlformats.org/officeDocument/2006/relationships/hyperlink" Target="consultantplus://offline/ref=9050BE35BBAF68F64A04EC572195EC89D7704E51CA9535856DE534A246FFC3BD2D38724AF7C28F2958AC5C967462CAC819BC307FD93DE8599899E30854D6j0L" TargetMode="External"/><Relationship Id="rId18" Type="http://schemas.openxmlformats.org/officeDocument/2006/relationships/hyperlink" Target="consultantplus://offline/ref=9050BE35BBAF68F64A04EC572195EC89D7704E51CA9535856DE534A246FFC3BD2D38724AF7C28F2958AC5E937164CAC819BC307FD93DE8599899E30854D6j0L"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consultantplus://offline/ref=9050BE35BBAF68F64A04EC572195EC89D7704E51CA9535856DE534A246FFC3BD2D38724AF7C28F2958AC5F937168CAC819BC307FD93DE8599899E30854D6j0L" TargetMode="External"/><Relationship Id="rId7" Type="http://schemas.openxmlformats.org/officeDocument/2006/relationships/hyperlink" Target="consultantplus://offline/ref=9050BE35BBAF68F64A04EC572195EC89D7704E51CA95388165E135A246FFC3BD2D38724AF7C28F2958AC5D907765CAC819BC307FD93DE8599899E30854D6j0L" TargetMode="External"/><Relationship Id="rId12" Type="http://schemas.openxmlformats.org/officeDocument/2006/relationships/hyperlink" Target="consultantplus://offline/ref=9050BE35BBAF68F64A04EC572195EC89D7704E51CA9535856DE534A246FFC3BD2D38724AF7C28F2958AC5C967366CAC819BC307FD93DE8599899E30854D6j0L" TargetMode="External"/><Relationship Id="rId17" Type="http://schemas.openxmlformats.org/officeDocument/2006/relationships/hyperlink" Target="consultantplus://offline/ref=9050BE35BBAF68F64A04EC572195EC89D7704E51CA9535856DE534A246FFC3BD2D38724AF7C28F2958AC5C947565CAC819BC307FD93DE8599899E30854D6j0L" TargetMode="External"/><Relationship Id="rId25" Type="http://schemas.openxmlformats.org/officeDocument/2006/relationships/hyperlink" Target="consultantplus://offline/ref=9050BE35BBAF68F64A04EC572195EC89D7704E51CA9535856DE534A246FFC3BD2D38724AF7C28F2958AC5C9E7762CAC819BC307FD93DE8599899E30854D6j0L" TargetMode="External"/><Relationship Id="rId2" Type="http://schemas.openxmlformats.org/officeDocument/2006/relationships/styles" Target="styles.xml"/><Relationship Id="rId16" Type="http://schemas.openxmlformats.org/officeDocument/2006/relationships/hyperlink" Target="consultantplus://offline/ref=9050BE35BBAF68F64A04EC572195EC89D7704E51CA9535856DE534A246FFC3BD2D38724AF7C28F2958AC5C947267CAC819BC307FD93DE8599899E30854D6j0L" TargetMode="External"/><Relationship Id="rId20" Type="http://schemas.openxmlformats.org/officeDocument/2006/relationships/hyperlink" Target="consultantplus://offline/ref=9050BE35BBAF68F64A04EC572195EC89D7704E51CA9535856DE534A246FFC3BD2D38724AF7C28F2958AC5C927366CAC819BC307FD93DE8599899E30854D6j0L" TargetMode="External"/><Relationship Id="rId1" Type="http://schemas.openxmlformats.org/officeDocument/2006/relationships/numbering" Target="numbering.xml"/><Relationship Id="rId6" Type="http://schemas.openxmlformats.org/officeDocument/2006/relationships/hyperlink" Target="consultantplus://offline/ref=9050BE35BBAF68F64A04EC572195EC89D7704E51CA95388165E135A246FFC3BD2D38724AF7C28F2958AC5D947665CAC819BC307FD93DE8599899E30854D6j0L" TargetMode="External"/><Relationship Id="rId11" Type="http://schemas.openxmlformats.org/officeDocument/2006/relationships/hyperlink" Target="consultantplus://offline/ref=9050BE35BBAF68F64A04EC572195EC89D7704E51CA9535856DE534A246FFC3BD2D38724AF7C28F2958AC5D927365CAC819BC307FD93DE8599899E30854D6j0L" TargetMode="External"/><Relationship Id="rId24" Type="http://schemas.openxmlformats.org/officeDocument/2006/relationships/hyperlink" Target="consultantplus://offline/ref=9050BE35BBAF68F64A04EC572195EC89D7704E51CA9535856DE534A246FFC3BD2D38724AF7C28F2958AC5C9E7069CAC819BC307FD93DE8599899E30854D6j0L" TargetMode="External"/><Relationship Id="rId5" Type="http://schemas.openxmlformats.org/officeDocument/2006/relationships/webSettings" Target="webSettings.xml"/><Relationship Id="rId15" Type="http://schemas.openxmlformats.org/officeDocument/2006/relationships/hyperlink" Target="consultantplus://offline/ref=9050BE35BBAF68F64A04EC572195EC89D7704E51CA9535856DE534A246FFC3BD2D38724AF7C28F2958AC5C977469CAC819BC307FD93DE8599899E30854D6j0L" TargetMode="External"/><Relationship Id="rId23" Type="http://schemas.openxmlformats.org/officeDocument/2006/relationships/hyperlink" Target="consultantplus://offline/ref=9050BE35BBAF68F64A04EC572195EC89D7704E51CA9535856DE534A246FFC3BD2D38724AF7C28F2958AC5C907666CAC819BC307FD93DE8599899E30854D6j0L" TargetMode="External"/><Relationship Id="rId10" Type="http://schemas.openxmlformats.org/officeDocument/2006/relationships/hyperlink" Target="consultantplus://offline/ref=9050BE35BBAF68F64A04EC572195EC89D7704E51CA9535856DE534A246FFC3BD2D38724AF7C28F2958AC59967365CAC819BC307FD93DE8599899E30854D6j0L" TargetMode="External"/><Relationship Id="rId19" Type="http://schemas.openxmlformats.org/officeDocument/2006/relationships/hyperlink" Target="consultantplus://offline/ref=9050BE35BBAF68F64A04EC572195EC89D7704E51CA9535856DE534A246FFC3BD2D38724AF7C28F2958AC5C957062CAC819BC307FD93DE8599899E30854D6j0L" TargetMode="External"/><Relationship Id="rId4" Type="http://schemas.openxmlformats.org/officeDocument/2006/relationships/settings" Target="settings.xml"/><Relationship Id="rId9" Type="http://schemas.openxmlformats.org/officeDocument/2006/relationships/hyperlink" Target="consultantplus://offline/ref=9050BE35BBAF68F64A04EC572195EC89D7704E51CA95388165E135A246FFC3BD2D38724AF7C28F2958AC5D907769CAC819BC307FD93DE8599899E30854D6j0L" TargetMode="External"/><Relationship Id="rId14" Type="http://schemas.openxmlformats.org/officeDocument/2006/relationships/hyperlink" Target="consultantplus://offline/ref=9050BE35BBAF68F64A04EC572195EC89D7704E51CA9535856DE534A246FFC3BD2D38724AF7C28F2958AC59957063CAC819BC307FD93DE8599899E30854D6j0L" TargetMode="External"/><Relationship Id="rId22" Type="http://schemas.openxmlformats.org/officeDocument/2006/relationships/hyperlink" Target="consultantplus://offline/ref=9050BE35BBAF68F64A04EC572195EC89D7704E51CA9535856DE534A246FFC3BD2D38724AF7C28F2958AC5C927560CAC819BC307FD93DE8599899E30854D6j0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2142</Words>
  <Characters>12213</Characters>
  <Application>Microsoft Office Word</Application>
  <DocSecurity>0</DocSecurity>
  <Lines>101</Lines>
  <Paragraphs>28</Paragraphs>
  <ScaleCrop>false</ScaleCrop>
  <Company/>
  <LinksUpToDate>false</LinksUpToDate>
  <CharactersWithSpaces>14327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2025-06-16T15:10:00Z</dcterms:created>
  <dcterms:modified xsi:type="dcterms:W3CDTF">2025-06-16T15:12:00Z</dcterms:modified>
</cp:coreProperties>
</file>