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39" w:rsidRDefault="002313F6">
      <w:pPr>
        <w:pStyle w:val="20"/>
        <w:shd w:val="clear" w:color="auto" w:fill="auto"/>
        <w:spacing w:after="305" w:line="290" w:lineRule="exact"/>
        <w:ind w:left="1480"/>
      </w:pPr>
      <w:r>
        <w:t>Актуализированные сведения</w:t>
      </w:r>
      <w:proofErr w:type="gramStart"/>
      <w:r>
        <w:t xml:space="preserve"> </w:t>
      </w:r>
      <w:r w:rsidR="003B7EB3">
        <w:t>!</w:t>
      </w:r>
      <w:proofErr w:type="gramEnd"/>
      <w:r w:rsidR="003B7EB3">
        <w:t>!!</w:t>
      </w:r>
    </w:p>
    <w:p w:rsidR="002313F6" w:rsidRDefault="002313F6">
      <w:pPr>
        <w:pStyle w:val="20"/>
        <w:shd w:val="clear" w:color="auto" w:fill="auto"/>
        <w:spacing w:after="0" w:line="341" w:lineRule="exact"/>
        <w:ind w:left="40" w:firstLine="700"/>
        <w:jc w:val="both"/>
        <w:rPr>
          <w:b w:val="0"/>
        </w:rPr>
      </w:pPr>
      <w:r w:rsidRPr="002313F6">
        <w:rPr>
          <w:b w:val="0"/>
        </w:rPr>
        <w:t xml:space="preserve">Инспекция Министерства по налогам </w:t>
      </w:r>
      <w:r>
        <w:rPr>
          <w:b w:val="0"/>
        </w:rPr>
        <w:t>и сб</w:t>
      </w:r>
      <w:r w:rsidR="007D58AC">
        <w:rPr>
          <w:b w:val="0"/>
        </w:rPr>
        <w:t>о</w:t>
      </w:r>
      <w:r>
        <w:rPr>
          <w:b w:val="0"/>
        </w:rPr>
        <w:t xml:space="preserve">рам Республики </w:t>
      </w:r>
      <w:r w:rsidR="007D58AC">
        <w:rPr>
          <w:b w:val="0"/>
        </w:rPr>
        <w:t>Беларусь</w:t>
      </w:r>
      <w:r>
        <w:rPr>
          <w:b w:val="0"/>
        </w:rPr>
        <w:t xml:space="preserve"> по </w:t>
      </w:r>
      <w:proofErr w:type="spellStart"/>
      <w:r>
        <w:rPr>
          <w:b w:val="0"/>
        </w:rPr>
        <w:t>П</w:t>
      </w:r>
      <w:r w:rsidRPr="002313F6">
        <w:rPr>
          <w:b w:val="0"/>
        </w:rPr>
        <w:t>уховичскому</w:t>
      </w:r>
      <w:proofErr w:type="spellEnd"/>
      <w:r w:rsidRPr="002313F6">
        <w:rPr>
          <w:b w:val="0"/>
        </w:rPr>
        <w:t xml:space="preserve"> району </w:t>
      </w:r>
      <w:r>
        <w:rPr>
          <w:b w:val="0"/>
        </w:rPr>
        <w:t xml:space="preserve">  напоминает. </w:t>
      </w:r>
    </w:p>
    <w:p w:rsidR="00D77B39" w:rsidRPr="00032B5A" w:rsidRDefault="003B7EB3" w:rsidP="00032B5A">
      <w:pPr>
        <w:pStyle w:val="20"/>
        <w:shd w:val="clear" w:color="auto" w:fill="auto"/>
        <w:spacing w:after="0" w:line="341" w:lineRule="exact"/>
        <w:ind w:left="40" w:firstLine="700"/>
        <w:jc w:val="both"/>
        <w:rPr>
          <w:b w:val="0"/>
        </w:rPr>
      </w:pPr>
      <w:r w:rsidRPr="002313F6">
        <w:rPr>
          <w:b w:val="0"/>
        </w:rPr>
        <w:t>Работы по замене (обновлению) парка кассового оборудования</w:t>
      </w:r>
      <w:r w:rsidR="00032B5A">
        <w:rPr>
          <w:b w:val="0"/>
        </w:rPr>
        <w:t xml:space="preserve"> </w:t>
      </w:r>
      <w:r w:rsidRPr="00032B5A">
        <w:rPr>
          <w:b w:val="0"/>
        </w:rPr>
        <w:t xml:space="preserve">в Республике Беларусь, соответствующего новым требованиям, </w:t>
      </w:r>
      <w:r w:rsidRPr="00032B5A">
        <w:rPr>
          <w:rStyle w:val="a5"/>
          <w:b/>
        </w:rPr>
        <w:t>должны быть завершены:</w:t>
      </w:r>
    </w:p>
    <w:p w:rsidR="00D77B39" w:rsidRDefault="003B7EB3">
      <w:pPr>
        <w:pStyle w:val="1"/>
        <w:shd w:val="clear" w:color="auto" w:fill="auto"/>
        <w:spacing w:before="0"/>
        <w:ind w:left="40" w:right="20" w:firstLine="700"/>
      </w:pPr>
      <w:r>
        <w:rPr>
          <w:rStyle w:val="a5"/>
        </w:rPr>
        <w:t xml:space="preserve">до </w:t>
      </w:r>
      <w:r>
        <w:rPr>
          <w:rStyle w:val="a6"/>
        </w:rPr>
        <w:t>1</w:t>
      </w:r>
      <w:r>
        <w:rPr>
          <w:rStyle w:val="LucidaSansUnicode175pt"/>
        </w:rPr>
        <w:t xml:space="preserve"> </w:t>
      </w:r>
      <w:r>
        <w:rPr>
          <w:rStyle w:val="a5"/>
        </w:rPr>
        <w:t xml:space="preserve">января </w:t>
      </w:r>
      <w:r>
        <w:rPr>
          <w:rStyle w:val="a6"/>
        </w:rPr>
        <w:t>2025</w:t>
      </w:r>
      <w:r>
        <w:rPr>
          <w:rStyle w:val="LucidaSansUnicode175pt"/>
        </w:rPr>
        <w:t xml:space="preserve"> </w:t>
      </w:r>
      <w:r>
        <w:rPr>
          <w:rStyle w:val="a5"/>
        </w:rPr>
        <w:t xml:space="preserve">года - </w:t>
      </w:r>
      <w:r>
        <w:t>у субъектов хозяйствования, осуществляющих продажу товаров, маркированных унифицированными контрольными знаками или средствами идентификации;</w:t>
      </w:r>
    </w:p>
    <w:p w:rsidR="00D77B39" w:rsidRDefault="003B7EB3">
      <w:pPr>
        <w:pStyle w:val="1"/>
        <w:shd w:val="clear" w:color="auto" w:fill="auto"/>
        <w:spacing w:before="0"/>
        <w:ind w:left="40" w:right="20" w:firstLine="700"/>
      </w:pPr>
      <w:r>
        <w:rPr>
          <w:rStyle w:val="a5"/>
        </w:rPr>
        <w:t xml:space="preserve">до 1 апреля 2025 года - </w:t>
      </w:r>
      <w:r>
        <w:t>у субъектов хозяйствования, не осуществляющих продажу товаров, маркированных унифицированными контрольными знаками или средствами идентификации.</w:t>
      </w:r>
    </w:p>
    <w:p w:rsidR="00D77B39" w:rsidRDefault="003B7EB3">
      <w:pPr>
        <w:pStyle w:val="30"/>
        <w:shd w:val="clear" w:color="auto" w:fill="auto"/>
        <w:tabs>
          <w:tab w:val="left" w:pos="4533"/>
          <w:tab w:val="left" w:pos="7720"/>
        </w:tabs>
        <w:ind w:left="40" w:right="20" w:firstLine="700"/>
      </w:pPr>
      <w:r>
        <w:t xml:space="preserve">Справочно. </w:t>
      </w:r>
      <w:proofErr w:type="gramStart"/>
      <w:r w:rsidR="006E724E">
        <w:t>П</w:t>
      </w:r>
      <w:r w:rsidR="002313F6">
        <w:t xml:space="preserve">еречнем </w:t>
      </w:r>
      <w:r>
        <w:t>доработанных до новых требований моделях кассовых суммирующих аппаратов и программных касс</w:t>
      </w:r>
      <w:r w:rsidR="002313F6">
        <w:t>,  а также  переч</w:t>
      </w:r>
      <w:r w:rsidR="006E724E">
        <w:t>ень</w:t>
      </w:r>
      <w:r w:rsidR="002313F6">
        <w:t xml:space="preserve"> моделей (модификаций)  кассовых суммирующих аппаратов и</w:t>
      </w:r>
      <w:proofErr w:type="gramEnd"/>
      <w:r w:rsidR="002313F6">
        <w:t xml:space="preserve"> программных ка</w:t>
      </w:r>
      <w:r w:rsidR="006E724E">
        <w:t>с</w:t>
      </w:r>
      <w:r w:rsidR="002313F6">
        <w:t xml:space="preserve">с, которые не могут быть  </w:t>
      </w:r>
      <w:proofErr w:type="gramStart"/>
      <w:r w:rsidR="002313F6">
        <w:t>доработаны</w:t>
      </w:r>
      <w:proofErr w:type="gramEnd"/>
      <w:r w:rsidR="002313F6">
        <w:t xml:space="preserve">  </w:t>
      </w:r>
      <w:r>
        <w:t xml:space="preserve"> размещ</w:t>
      </w:r>
      <w:r w:rsidR="006E724E">
        <w:t>ен</w:t>
      </w:r>
      <w:r>
        <w:t xml:space="preserve"> на сайте МНС в разделе Налоговый контроль/Контроль за приемом средств платежа и использованием</w:t>
      </w:r>
      <w:r w:rsidR="006E724E">
        <w:t xml:space="preserve"> кассового и иного оборудования</w:t>
      </w:r>
    </w:p>
    <w:p w:rsidR="002313F6" w:rsidRPr="00B04764" w:rsidRDefault="00B04764">
      <w:pPr>
        <w:pStyle w:val="30"/>
        <w:shd w:val="clear" w:color="auto" w:fill="auto"/>
        <w:tabs>
          <w:tab w:val="left" w:pos="9179"/>
        </w:tabs>
        <w:ind w:left="40"/>
        <w:rPr>
          <w:rStyle w:val="31"/>
          <w:i/>
          <w:iCs/>
        </w:rPr>
      </w:pPr>
      <w:r>
        <w:rPr>
          <w:rFonts w:ascii="Arial" w:hAnsi="Arial" w:cs="Arial"/>
          <w:color w:val="1A1A1A"/>
          <w:shd w:val="clear" w:color="auto" w:fill="FAFAFA"/>
        </w:rPr>
        <w:t> </w:t>
      </w:r>
      <w:r w:rsidRPr="00B04764">
        <w:rPr>
          <w:color w:val="1A1A1A"/>
          <w:shd w:val="clear" w:color="auto" w:fill="FAFAFA"/>
        </w:rPr>
        <w:t>(</w:t>
      </w:r>
      <w:hyperlink r:id="rId7" w:history="1">
        <w:r w:rsidRPr="00B04764">
          <w:rPr>
            <w:rStyle w:val="a3"/>
            <w:color w:val="007A65"/>
            <w:u w:val="none"/>
            <w:bdr w:val="none" w:sz="0" w:space="0" w:color="auto" w:frame="1"/>
            <w:shd w:val="clear" w:color="auto" w:fill="FAFAFA"/>
          </w:rPr>
          <w:t>https://nalog.gov.by/tax_control/payment_control/list_of_models/</w:t>
        </w:r>
      </w:hyperlink>
      <w:r w:rsidRPr="00B04764">
        <w:rPr>
          <w:color w:val="1A1A1A"/>
          <w:shd w:val="clear" w:color="auto" w:fill="FAFAFA"/>
        </w:rPr>
        <w:t>).</w:t>
      </w:r>
      <w:r w:rsidR="003B7EB3" w:rsidRPr="00B04764">
        <w:rPr>
          <w:rStyle w:val="31"/>
          <w:i/>
          <w:iCs/>
        </w:rPr>
        <w:tab/>
      </w:r>
    </w:p>
    <w:p w:rsidR="00D77B39" w:rsidRDefault="003B7EB3" w:rsidP="006C5DBF">
      <w:pPr>
        <w:pStyle w:val="1"/>
        <w:shd w:val="clear" w:color="auto" w:fill="auto"/>
        <w:spacing w:before="0"/>
        <w:ind w:left="20" w:right="20" w:firstLine="720"/>
      </w:pPr>
      <w:r>
        <w:t xml:space="preserve">Также предлагаем </w:t>
      </w:r>
      <w:r>
        <w:rPr>
          <w:rStyle w:val="a5"/>
        </w:rPr>
        <w:t xml:space="preserve">всем </w:t>
      </w:r>
      <w:r w:rsidR="00BD19F1">
        <w:rPr>
          <w:rStyle w:val="a5"/>
        </w:rPr>
        <w:t>субъектам хозяйствования, использующим кассовое оборудование</w:t>
      </w:r>
      <w:r>
        <w:rPr>
          <w:rStyle w:val="a5"/>
        </w:rPr>
        <w:t xml:space="preserve"> </w:t>
      </w:r>
      <w:r>
        <w:t xml:space="preserve">обратиться к операторам программных кассовых систем, производителям кассовых аппаратов, для заключения договоров на поставку кассового оборудования и установления мер ответственности за их несоблюдение, подачи заявок на замену (обновление) программных касс и кассовых аппаратов. </w:t>
      </w:r>
      <w:bookmarkStart w:id="0" w:name="_GoBack"/>
      <w:bookmarkEnd w:id="0"/>
    </w:p>
    <w:sectPr w:rsidR="00D77B39" w:rsidSect="00166A83">
      <w:headerReference w:type="default" r:id="rId8"/>
      <w:type w:val="continuous"/>
      <w:pgSz w:w="11906" w:h="16838"/>
      <w:pgMar w:top="1134" w:right="567" w:bottom="107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B3" w:rsidRDefault="003B7EB3">
      <w:r>
        <w:separator/>
      </w:r>
    </w:p>
  </w:endnote>
  <w:endnote w:type="continuationSeparator" w:id="0">
    <w:p w:rsidR="003B7EB3" w:rsidRDefault="003B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B3" w:rsidRDefault="003B7EB3"/>
  </w:footnote>
  <w:footnote w:type="continuationSeparator" w:id="0">
    <w:p w:rsidR="003B7EB3" w:rsidRDefault="003B7E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39" w:rsidRDefault="00E859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0E5243E" wp14:editId="01AC3A51">
              <wp:simplePos x="0" y="0"/>
              <wp:positionH relativeFrom="page">
                <wp:posOffset>3758565</wp:posOffset>
              </wp:positionH>
              <wp:positionV relativeFrom="page">
                <wp:posOffset>673735</wp:posOffset>
              </wp:positionV>
              <wp:extent cx="60960" cy="1384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B39" w:rsidRDefault="003B7EB3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95pt;margin-top:53.0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" filled="f" stroked="f">
              <v:textbox style="mso-fit-shape-to-text:t" inset="0,0,0,0">
                <w:txbxContent>
                  <w:p w:rsidR="00D77B39" w:rsidRDefault="003B7EB3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39"/>
    <w:rsid w:val="00032B5A"/>
    <w:rsid w:val="00166A83"/>
    <w:rsid w:val="002313F6"/>
    <w:rsid w:val="003B7EB3"/>
    <w:rsid w:val="006C5DBF"/>
    <w:rsid w:val="006E724E"/>
    <w:rsid w:val="007D58AC"/>
    <w:rsid w:val="00B04764"/>
    <w:rsid w:val="00BD19F1"/>
    <w:rsid w:val="00D77B39"/>
    <w:rsid w:val="00E8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LucidaSansUnicode175pt">
    <w:name w:val="Основной текст + Lucida Sans Unicode;17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LucidaSansUnicode175pt">
    <w:name w:val="Основной текст (2) + Lucida Sans Unicode;17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LucidaSansUnicode175pt">
    <w:name w:val="Основной текст + Lucida Sans Unicode;17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LucidaSansUnicode175pt">
    <w:name w:val="Основной текст (2) + Lucida Sans Unicode;17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log.gov.by/tax_control/payment_control/list_of_model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12</cp:revision>
  <dcterms:created xsi:type="dcterms:W3CDTF">2024-12-03T07:09:00Z</dcterms:created>
  <dcterms:modified xsi:type="dcterms:W3CDTF">2024-12-19T12:57:00Z</dcterms:modified>
</cp:coreProperties>
</file>