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14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343434"/>
          <w:sz w:val="28"/>
          <w:szCs w:val="28"/>
        </w:rPr>
        <w:t>Предварительное информирование граждан</w:t>
      </w:r>
      <w:r>
        <w:rPr>
          <w:rFonts w:eastAsia="Times New Roman" w:cs="Arial" w:ascii="Times New Roman" w:hAnsi="Times New Roman"/>
          <w:b/>
          <w:bCs/>
          <w:color w:val="343434"/>
          <w:sz w:val="28"/>
          <w:szCs w:val="28"/>
          <w:lang w:val="en-US"/>
        </w:rPr>
        <w:t xml:space="preserve"> </w:t>
      </w:r>
      <w:r>
        <w:rPr>
          <w:rFonts w:eastAsia="Times New Roman" w:cs="Arial" w:ascii="Times New Roman" w:hAnsi="Times New Roman"/>
          <w:b/>
          <w:bCs/>
          <w:color w:val="343434"/>
          <w:sz w:val="28"/>
          <w:szCs w:val="28"/>
          <w:lang w:val="en-US"/>
        </w:rPr>
        <w:t>и</w:t>
      </w:r>
      <w:r>
        <w:rPr>
          <w:rFonts w:eastAsia="Times New Roman" w:cs="Arial" w:ascii="Times New Roman" w:hAnsi="Times New Roman"/>
          <w:b/>
          <w:bCs/>
          <w:color w:val="343434"/>
          <w:sz w:val="28"/>
          <w:szCs w:val="28"/>
          <w:lang w:val="ru-RU"/>
        </w:rPr>
        <w:t xml:space="preserve"> юридических лиц</w:t>
      </w:r>
      <w:r>
        <w:rPr>
          <w:rFonts w:eastAsia="Times New Roman" w:cs="Arial" w:ascii="Times New Roman" w:hAnsi="Times New Roman"/>
          <w:b/>
          <w:bCs/>
          <w:color w:val="343434"/>
          <w:sz w:val="28"/>
          <w:szCs w:val="28"/>
          <w:lang w:val="ru-RU"/>
        </w:rPr>
        <w:t xml:space="preserve"> </w:t>
      </w:r>
      <w:r>
        <w:rPr>
          <w:rFonts w:eastAsia="Times New Roman" w:cs="Arial" w:ascii="Times New Roman" w:hAnsi="Times New Roman"/>
          <w:b/>
          <w:bCs/>
          <w:color w:val="343434"/>
          <w:sz w:val="28"/>
          <w:szCs w:val="28"/>
        </w:rPr>
        <w:t>о проведении общественных обсуждений отчета об оценке воздействия                                 на окружающую среду (ОВОС) по объекту: «Строительство дезбарьера и дороги грязной зоны на площадке цеха родительского стада кур «Пуховичи» филиала «Генетик-2» ОАО «Смолевичи Бройлер»</w:t>
      </w:r>
    </w:p>
    <w:p>
      <w:pPr>
        <w:pStyle w:val="Normal"/>
        <w:spacing w:lineRule="auto" w:line="240" w:before="240" w:after="24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343434"/>
          <w:sz w:val="28"/>
          <w:szCs w:val="28"/>
        </w:rPr>
        <w:t>План-график работ по проведению оценки воздействия</w:t>
      </w:r>
    </w:p>
    <w:tbl>
      <w:tblPr>
        <w:tblW w:w="9645" w:type="dxa"/>
        <w:jc w:val="left"/>
        <w:tblInd w:w="9" w:type="dxa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5504"/>
        <w:gridCol w:w="4140"/>
      </w:tblGrid>
      <w:tr>
        <w:trPr>
          <w:trHeight w:val="169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Подготовка программы проведения ОВОС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Март 2022г.</w:t>
            </w:r>
          </w:p>
        </w:tc>
      </w:tr>
      <w:tr>
        <w:trPr>
          <w:trHeight w:val="349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Проведение предварительного информирования граждан о планируемой деятельности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Апрель 2022</w:t>
            </w:r>
          </w:p>
        </w:tc>
      </w:tr>
      <w:tr>
        <w:trPr>
          <w:trHeight w:val="169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Проведение ОВОС и подготовка отчета об ОВОС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Апрель 2022г.</w:t>
            </w:r>
          </w:p>
        </w:tc>
      </w:tr>
      <w:tr>
        <w:trPr>
          <w:trHeight w:val="180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Подготовка уведомления о планируемой деятельности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Апрель 2022г.</w:t>
            </w:r>
          </w:p>
        </w:tc>
      </w:tr>
      <w:tr>
        <w:trPr>
          <w:trHeight w:val="339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Направление уведомления о планируемой деятельности и программы проведения ОВОС затрагиваемым сторонам*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Не требуется*</w:t>
            </w:r>
          </w:p>
        </w:tc>
      </w:tr>
      <w:tr>
        <w:trPr>
          <w:trHeight w:val="180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Направления отчета об ОВОС затрагиваемым сторонам*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Не требуется*</w:t>
            </w:r>
          </w:p>
        </w:tc>
      </w:tr>
      <w:tr>
        <w:trPr>
          <w:trHeight w:val="519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Проведение общественных обсуждений (слушаний) на территории: Республики Беларусь Затрагиваемых сторон*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Апрель-май 2022г.</w:t>
            </w:r>
          </w:p>
        </w:tc>
      </w:tr>
      <w:tr>
        <w:trPr>
          <w:trHeight w:val="169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Проведение консультации по замечаниям затрагиваемых сторон*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Не требуется*</w:t>
            </w:r>
          </w:p>
        </w:tc>
      </w:tr>
      <w:tr>
        <w:trPr>
          <w:trHeight w:val="169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Доработка отчета об ОВОС по замечаниям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Апрель 2022г. в случае необходимости доработки</w:t>
            </w:r>
          </w:p>
        </w:tc>
      </w:tr>
      <w:tr>
        <w:trPr>
          <w:trHeight w:val="349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Представление отчета об ОВОС в составе проектной документации на государственную экологическую экспертизу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Май - июнь 2022г.</w:t>
            </w:r>
          </w:p>
        </w:tc>
      </w:tr>
      <w:tr>
        <w:trPr>
          <w:trHeight w:val="519" w:hRule="atLeast"/>
        </w:trPr>
        <w:tc>
          <w:tcPr>
            <w:tcW w:w="5504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Принятие решения в отношении планируемой деятельности</w:t>
            </w:r>
          </w:p>
        </w:tc>
        <w:tc>
          <w:tcPr>
            <w:tcW w:w="4140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color="auto" w:fill="EAF5FF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BY"/>
              </w:rPr>
              <w:t>Июнь 2022г. (в течение 15 рабочих дней после получения заключения государственной экологической экспертизы)</w:t>
            </w:r>
          </w:p>
        </w:tc>
      </w:tr>
    </w:tbl>
    <w:p>
      <w:pPr>
        <w:pStyle w:val="Normal"/>
        <w:widowControl w:val="false"/>
        <w:spacing w:lineRule="auto" w:line="240" w:before="20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sz w:val="24"/>
          <w:szCs w:val="24"/>
          <w:lang w:val="ru-BY" w:eastAsia="ru-BY"/>
        </w:rPr>
        <w:t>&lt;*&gt; - заполняется в случае, если планируемая хозяйственная и иная деятельность может оказывать трансграничное воздействие.</w:t>
      </w:r>
    </w:p>
    <w:p>
      <w:pPr>
        <w:pStyle w:val="Normal"/>
        <w:shd w:val="clear" w:color="auto" w:fill="FFFFFF"/>
        <w:spacing w:lineRule="auto" w:line="240" w:before="240" w:after="240"/>
        <w:ind w:right="-568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color w:val="343434"/>
          <w:sz w:val="28"/>
          <w:szCs w:val="28"/>
        </w:rPr>
        <w:t>Заказчик планируемой деятельности</w:t>
      </w:r>
    </w:p>
    <w:p>
      <w:pPr>
        <w:pStyle w:val="Mcntmsonormal"/>
        <w:shd w:val="clear" w:color="auto" w:fill="FFFFFF"/>
        <w:spacing w:beforeAutospacing="0" w:before="24" w:afterAutospacing="0" w:after="2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color w:val="343434"/>
          <w:sz w:val="24"/>
          <w:szCs w:val="24"/>
          <w:lang w:val="ru-RU" w:eastAsia="en-US"/>
        </w:rPr>
        <w:t>Открытое акционерное общество «Смолевичи Бройлер».</w:t>
      </w:r>
    </w:p>
    <w:p>
      <w:pPr>
        <w:pStyle w:val="Mcntmsonormal"/>
        <w:shd w:val="clear" w:color="auto" w:fill="FFFFFF"/>
        <w:spacing w:beforeAutospacing="0" w:before="24" w:afterAutospacing="0" w:after="2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color w:val="343434"/>
          <w:sz w:val="24"/>
          <w:szCs w:val="24"/>
          <w:lang w:val="ru-RU" w:eastAsia="en-US"/>
        </w:rPr>
        <w:t xml:space="preserve">Юридический адрес: </w:t>
      </w:r>
      <w:r>
        <w:rPr>
          <w:rFonts w:cs="Times New Roman"/>
          <w:color w:val="343434"/>
          <w:sz w:val="24"/>
          <w:szCs w:val="24"/>
          <w:lang w:val="ru-RU" w:eastAsia="en-US"/>
        </w:rPr>
        <w:t xml:space="preserve">222220, Минская область, Смолевичский район, п/о Плиса,                        п. Октябрьский, тел.8(01776)56-3-80, факс 8(01776)56-4-76, </w:t>
      </w:r>
      <w:r>
        <w:rPr>
          <w:rFonts w:cs="Times New Roman"/>
          <w:color w:val="343434"/>
          <w:sz w:val="24"/>
          <w:szCs w:val="24"/>
          <w:lang w:val="en-US" w:eastAsia="en-US"/>
        </w:rPr>
        <w:t>e</w:t>
      </w:r>
      <w:r>
        <w:rPr>
          <w:rFonts w:cs="Times New Roman"/>
          <w:color w:val="343434"/>
          <w:sz w:val="24"/>
          <w:szCs w:val="24"/>
          <w:lang w:val="ru-RU" w:eastAsia="en-US"/>
        </w:rPr>
        <w:t>-</w:t>
      </w:r>
      <w:r>
        <w:rPr>
          <w:rFonts w:cs="Times New Roman"/>
          <w:color w:val="343434"/>
          <w:sz w:val="24"/>
          <w:szCs w:val="24"/>
          <w:lang w:val="en-US" w:eastAsia="en-US"/>
        </w:rPr>
        <w:t>mail</w:t>
      </w:r>
      <w:r>
        <w:rPr>
          <w:rFonts w:cs="Times New Roman"/>
          <w:color w:val="343434"/>
          <w:sz w:val="24"/>
          <w:szCs w:val="24"/>
          <w:lang w:val="ru-RU" w:eastAsia="en-US"/>
        </w:rPr>
        <w:t xml:space="preserve">: </w:t>
      </w:r>
      <w:r>
        <w:rPr>
          <w:rFonts w:cs="Times New Roman"/>
          <w:color w:val="343434"/>
          <w:sz w:val="24"/>
          <w:szCs w:val="24"/>
          <w:lang w:val="en-US" w:eastAsia="en-US"/>
        </w:rPr>
        <w:t>sb</w:t>
      </w:r>
      <w:r>
        <w:rPr>
          <w:rFonts w:cs="Times New Roman"/>
          <w:color w:val="343434"/>
          <w:sz w:val="24"/>
          <w:szCs w:val="24"/>
          <w:lang w:val="ru-RU" w:eastAsia="en-US"/>
        </w:rPr>
        <w:t>.</w:t>
      </w:r>
      <w:r>
        <w:rPr>
          <w:rFonts w:cs="Times New Roman"/>
          <w:color w:val="343434"/>
          <w:sz w:val="24"/>
          <w:szCs w:val="24"/>
          <w:lang w:val="en-US" w:eastAsia="en-US"/>
        </w:rPr>
        <w:t>office</w:t>
      </w:r>
      <w:r>
        <w:rPr>
          <w:rFonts w:cs="Times New Roman"/>
          <w:color w:val="343434"/>
          <w:sz w:val="24"/>
          <w:szCs w:val="24"/>
          <w:lang w:val="ru-RU" w:eastAsia="en-US"/>
        </w:rPr>
        <w:t>@</w:t>
      </w:r>
      <w:r>
        <w:rPr>
          <w:rFonts w:cs="Times New Roman"/>
          <w:color w:val="343434"/>
          <w:sz w:val="24"/>
          <w:szCs w:val="24"/>
          <w:lang w:val="en-US" w:eastAsia="en-US"/>
        </w:rPr>
        <w:t>servolux</w:t>
      </w:r>
      <w:r>
        <w:rPr>
          <w:rFonts w:cs="Times New Roman"/>
          <w:color w:val="343434"/>
          <w:sz w:val="24"/>
          <w:szCs w:val="24"/>
          <w:lang w:val="ru-RU" w:eastAsia="en-US"/>
        </w:rPr>
        <w:t>.</w:t>
      </w:r>
      <w:r>
        <w:rPr>
          <w:rFonts w:cs="Times New Roman"/>
          <w:color w:val="343434"/>
          <w:sz w:val="24"/>
          <w:szCs w:val="24"/>
          <w:lang w:val="en-US" w:eastAsia="en-US"/>
        </w:rPr>
        <w:t>by</w:t>
      </w:r>
      <w:r>
        <w:rPr>
          <w:rFonts w:cs="Times New Roman"/>
          <w:color w:val="343434"/>
          <w:sz w:val="24"/>
          <w:szCs w:val="24"/>
          <w:lang w:val="ru-RU" w:eastAsia="en-US"/>
        </w:rPr>
        <w:t xml:space="preserve">, сайт: </w:t>
      </w:r>
      <w:r>
        <w:rPr>
          <w:rFonts w:cs="Times New Roman"/>
          <w:color w:val="343434"/>
          <w:sz w:val="24"/>
          <w:szCs w:val="24"/>
          <w:lang w:val="en-US" w:eastAsia="en-US"/>
        </w:rPr>
        <w:t>www</w:t>
      </w:r>
      <w:r>
        <w:rPr>
          <w:rFonts w:cs="Times New Roman"/>
          <w:color w:val="343434"/>
          <w:sz w:val="24"/>
          <w:szCs w:val="24"/>
          <w:lang w:val="ru-RU" w:eastAsia="en-US"/>
        </w:rPr>
        <w:t>.</w:t>
      </w:r>
      <w:r>
        <w:rPr>
          <w:rFonts w:cs="Times New Roman"/>
          <w:color w:val="343434"/>
          <w:sz w:val="24"/>
          <w:szCs w:val="24"/>
          <w:lang w:val="en-US" w:eastAsia="en-US"/>
        </w:rPr>
        <w:t>servolux</w:t>
      </w:r>
      <w:r>
        <w:rPr>
          <w:rFonts w:cs="Times New Roman"/>
          <w:color w:val="343434"/>
          <w:sz w:val="24"/>
          <w:szCs w:val="24"/>
          <w:lang w:val="ru-RU" w:eastAsia="en-US"/>
        </w:rPr>
        <w:t>.</w:t>
      </w:r>
      <w:r>
        <w:rPr>
          <w:rFonts w:cs="Times New Roman"/>
          <w:color w:val="343434"/>
          <w:sz w:val="24"/>
          <w:szCs w:val="24"/>
          <w:lang w:val="en-US" w:eastAsia="en-US"/>
        </w:rPr>
        <w:t>com</w:t>
      </w:r>
      <w:r>
        <w:rPr>
          <w:rFonts w:cs="Times New Roman"/>
          <w:color w:val="343434"/>
          <w:sz w:val="24"/>
          <w:szCs w:val="24"/>
          <w:lang w:val="ru-RU" w:eastAsia="en-US"/>
        </w:rPr>
        <w:t>.</w:t>
      </w:r>
    </w:p>
    <w:p>
      <w:pPr>
        <w:pStyle w:val="Mcntmsonormal"/>
        <w:shd w:val="clear" w:color="auto" w:fill="FFFFFF"/>
        <w:spacing w:beforeAutospacing="0" w:before="24" w:afterAutospacing="0" w:after="2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color w:val="343434"/>
          <w:sz w:val="24"/>
          <w:szCs w:val="24"/>
          <w:lang w:val="ru-RU" w:eastAsia="en-US"/>
        </w:rPr>
        <w:t>Почтовый адрес: 222220, Минская обл., Смолевичский район, п/о Плиса, п. Октябрьский.</w:t>
      </w:r>
    </w:p>
    <w:p>
      <w:pPr>
        <w:pStyle w:val="Normal"/>
        <w:shd w:val="clear" w:color="auto" w:fill="FFFFFF"/>
        <w:spacing w:lineRule="auto" w:line="240" w:before="24" w:after="2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val="343434"/>
          <w:sz w:val="24"/>
          <w:szCs w:val="24"/>
        </w:rPr>
        <w:t xml:space="preserve">Контактное лицо: начальник отдела охраны окружающей среды ОАО «Смолевичи Бройлер»   Шкода Наталья Васильевна, тел. +37529789-81-59, </w:t>
      </w:r>
      <w:r>
        <w:rPr>
          <w:rFonts w:eastAsia="Times New Roman" w:cs="Times New Roman" w:ascii="Times New Roman" w:hAnsi="Times New Roman"/>
          <w:color w:val="343434"/>
          <w:sz w:val="24"/>
          <w:szCs w:val="24"/>
          <w:lang w:val="en-US" w:eastAsia="en-US"/>
        </w:rPr>
        <w:t>e</w:t>
      </w:r>
      <w:r>
        <w:rPr>
          <w:rFonts w:eastAsia="Times New Roman" w:cs="Times New Roman" w:ascii="Times New Roman" w:hAnsi="Times New Roman"/>
          <w:color w:val="343434"/>
          <w:sz w:val="24"/>
          <w:szCs w:val="24"/>
          <w:lang w:val="ru-RU" w:eastAsia="en-US"/>
        </w:rPr>
        <w:t>-</w:t>
      </w:r>
      <w:r>
        <w:rPr>
          <w:rFonts w:eastAsia="Times New Roman" w:cs="Times New Roman" w:ascii="Times New Roman" w:hAnsi="Times New Roman"/>
          <w:color w:val="343434"/>
          <w:sz w:val="24"/>
          <w:szCs w:val="24"/>
          <w:lang w:val="en-US" w:eastAsia="en-US"/>
        </w:rPr>
        <w:t>mail</w:t>
      </w:r>
      <w:r>
        <w:rPr>
          <w:rFonts w:eastAsia="Times New Roman" w:cs="Times New Roman" w:ascii="Times New Roman" w:hAnsi="Times New Roman"/>
          <w:color w:val="343434"/>
          <w:sz w:val="24"/>
          <w:szCs w:val="24"/>
          <w:lang w:val="ru-RU" w:eastAsia="en-US"/>
        </w:rPr>
        <w:t xml:space="preserve">: </w:t>
      </w:r>
      <w:r>
        <w:rPr>
          <w:rFonts w:eastAsia="Times New Roman" w:cs="Arial" w:ascii="Times New Roman" w:hAnsi="Times New Roman"/>
          <w:color w:val="343434"/>
          <w:sz w:val="24"/>
          <w:szCs w:val="24"/>
        </w:rPr>
        <w:t>natalia.shkoda@servolux.by.</w:t>
      </w:r>
    </w:p>
    <w:p>
      <w:pPr>
        <w:pStyle w:val="Normal"/>
        <w:shd w:val="clear" w:color="auto" w:fill="FFFFFF"/>
        <w:spacing w:lineRule="auto" w:line="240" w:before="24" w:after="2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val="343434"/>
          <w:sz w:val="24"/>
          <w:szCs w:val="24"/>
        </w:rPr>
        <w:t> 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343434"/>
          <w:sz w:val="28"/>
          <w:szCs w:val="28"/>
        </w:rPr>
        <w:t>Сведения о планируемой деятельности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color w:val="343434"/>
          <w:sz w:val="28"/>
          <w:szCs w:val="28"/>
        </w:rPr>
      </w:pPr>
      <w:r>
        <w:rPr>
          <w:rFonts w:eastAsia="Times New Roman" w:cs="Arial" w:ascii="Times New Roman" w:hAnsi="Times New Roman"/>
          <w:color w:val="343434"/>
          <w:sz w:val="28"/>
          <w:szCs w:val="28"/>
        </w:rPr>
      </w:r>
    </w:p>
    <w:p>
      <w:pPr>
        <w:pStyle w:val="Normal"/>
        <w:spacing w:lineRule="auto" w:line="24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val="343434"/>
          <w:sz w:val="24"/>
          <w:szCs w:val="24"/>
        </w:rPr>
        <w:t>Проектом предусматривается строительство дезбарьера и дороги грязной зоны на площадке цеха родительского стада кур «Пуховичи» филиала «Генетик-2» ОАО «Смолевичи Бройлер».</w:t>
      </w:r>
    </w:p>
    <w:p>
      <w:pPr>
        <w:pStyle w:val="Normal"/>
        <w:widowControl w:val="false"/>
        <w:tabs>
          <w:tab w:val="clear" w:pos="720"/>
          <w:tab w:val="left" w:pos="9072" w:leader="none"/>
          <w:tab w:val="left" w:pos="9356" w:leader="none"/>
        </w:tabs>
        <w:spacing w:lineRule="auto" w:line="240" w:before="0" w:after="0"/>
        <w:ind w:right="-1" w:hanging="0"/>
        <w:jc w:val="both"/>
        <w:rPr/>
      </w:pPr>
      <w:r>
        <w:rPr>
          <w:rFonts w:eastAsia="Times New Roman" w:cs="Arial" w:ascii="Times New Roman" w:hAnsi="Times New Roman"/>
          <w:color w:val="343434"/>
          <w:sz w:val="24"/>
          <w:szCs w:val="24"/>
        </w:rPr>
        <w:t xml:space="preserve">Проектируемый объект (дезбарьер и дорога грязной зоны) расположен </w:t>
      </w:r>
      <w:bookmarkStart w:id="0" w:name="_Hlk99105581"/>
      <w:r>
        <w:rPr>
          <w:rFonts w:eastAsia="Times New Roman" w:cs="Arial" w:ascii="Times New Roman" w:hAnsi="Times New Roman"/>
          <w:color w:val="343434"/>
          <w:sz w:val="24"/>
          <w:szCs w:val="24"/>
        </w:rPr>
        <w:t>на огражденной территории цеха родительского стада кур «Пуховичи» филиала «Генетик-2»                               ОАО «Смолевичи Бройлер» по адресу:</w:t>
      </w:r>
      <w:bookmarkEnd w:id="0"/>
      <w:r>
        <w:rPr>
          <w:rFonts w:eastAsia="Times New Roman" w:cs="Arial" w:ascii="Times New Roman" w:hAnsi="Times New Roman"/>
          <w:color w:val="343434"/>
          <w:sz w:val="24"/>
          <w:szCs w:val="24"/>
        </w:rPr>
        <w:t xml:space="preserve"> Минская область, Пуховичский район, г. Марьина Горка, ул. Ф Энгельса, 25. Земельный участок находится в землепользовании                              ОАО «Смолевичи Бройлер». Проектом предусматривается предоставление дополнительного земельного участка в постоянное пользование.</w:t>
      </w:r>
    </w:p>
    <w:p>
      <w:pPr>
        <w:pStyle w:val="Normal"/>
        <w:widowControl w:val="false"/>
        <w:tabs>
          <w:tab w:val="clear" w:pos="720"/>
          <w:tab w:val="left" w:pos="9072" w:leader="none"/>
          <w:tab w:val="left" w:pos="9356" w:leader="none"/>
        </w:tabs>
        <w:spacing w:lineRule="auto" w:line="240" w:before="2" w:after="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val="343434"/>
          <w:sz w:val="24"/>
          <w:szCs w:val="24"/>
        </w:rPr>
        <w:t>С восточной, южной и западной сторон от объекта расположены проезды и зеленые зоны цеха родительского стада кур «Пуховичи», с северной - улица Ф.Энгельса, г. Марьина Горка. Форма участка строительства - многоугольная, а его площадь, согласно акта выбора места размещения - 0,2719 га.</w:t>
      </w:r>
    </w:p>
    <w:p>
      <w:pPr>
        <w:pStyle w:val="Normal"/>
        <w:widowControl w:val="false"/>
        <w:tabs>
          <w:tab w:val="clear" w:pos="720"/>
          <w:tab w:val="left" w:pos="9072" w:leader="none"/>
          <w:tab w:val="left" w:pos="9356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val="343434"/>
          <w:sz w:val="24"/>
          <w:szCs w:val="24"/>
        </w:rPr>
        <w:t xml:space="preserve">Древесно-кустарниковая растительность в зоне строительства отсутствует. </w:t>
      </w:r>
    </w:p>
    <w:p>
      <w:pPr>
        <w:pStyle w:val="Normal"/>
        <w:widowControl w:val="false"/>
        <w:tabs>
          <w:tab w:val="clear" w:pos="720"/>
          <w:tab w:val="left" w:pos="9072" w:leader="none"/>
          <w:tab w:val="left" w:pos="9356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val="343434"/>
          <w:sz w:val="24"/>
          <w:szCs w:val="24"/>
        </w:rPr>
        <w:t>Водосток - наружный организованный.</w:t>
      </w:r>
    </w:p>
    <w:p>
      <w:pPr>
        <w:pStyle w:val="Normal"/>
        <w:widowControl w:val="false"/>
        <w:tabs>
          <w:tab w:val="clear" w:pos="720"/>
          <w:tab w:val="left" w:pos="9072" w:leader="none"/>
          <w:tab w:val="left" w:pos="9356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val="343434"/>
          <w:sz w:val="24"/>
          <w:szCs w:val="24"/>
        </w:rPr>
        <w:t>Проектом не предусмотрено создание новых рабочих мест.</w:t>
      </w:r>
    </w:p>
    <w:p>
      <w:pPr>
        <w:pStyle w:val="Normal"/>
        <w:shd w:val="clear" w:color="auto" w:fill="FFFFFF"/>
        <w:spacing w:lineRule="auto" w:line="240" w:before="240" w:after="24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343434"/>
          <w:sz w:val="28"/>
          <w:szCs w:val="28"/>
        </w:rPr>
        <w:t>Альтернативные варианты: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sz w:val="24"/>
          <w:szCs w:val="24"/>
        </w:rPr>
        <w:t>В качестве альтернативных вариантов реализации планируемой деятельности рассмотрены следующие:</w:t>
      </w:r>
    </w:p>
    <w:p>
      <w:pPr>
        <w:pStyle w:val="Normal"/>
        <w:widowControl w:val="false"/>
        <w:spacing w:lineRule="exact" w:line="321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sz w:val="24"/>
          <w:szCs w:val="24"/>
        </w:rPr>
        <w:t xml:space="preserve">I вариант - </w:t>
      </w:r>
      <w:r>
        <w:rPr>
          <w:rFonts w:eastAsia="Times New Roman" w:cs="Arial" w:ascii="Times New Roman" w:hAnsi="Times New Roman"/>
          <w:sz w:val="24"/>
          <w:szCs w:val="24"/>
          <w:lang w:val="en-US"/>
        </w:rPr>
        <w:t>c</w:t>
      </w:r>
      <w:r>
        <w:rPr>
          <w:rFonts w:eastAsia="Times New Roman" w:cs="Arial" w:ascii="Times New Roman" w:hAnsi="Times New Roman"/>
          <w:sz w:val="24"/>
          <w:szCs w:val="24"/>
        </w:rPr>
        <w:t>троительство в соответствии с проектными решениями;</w:t>
      </w:r>
    </w:p>
    <w:p>
      <w:pPr>
        <w:pStyle w:val="Normal"/>
        <w:widowControl w:val="false"/>
        <w:spacing w:lineRule="exact" w:line="322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sz w:val="24"/>
          <w:szCs w:val="24"/>
        </w:rPr>
        <w:t>II вариант - отказ от реализации планируемых намерений («нулевая» альтернатива).</w:t>
      </w:r>
    </w:p>
    <w:p>
      <w:pPr>
        <w:pStyle w:val="Normal"/>
        <w:shd w:val="clear" w:color="auto" w:fill="FFFFFF"/>
        <w:spacing w:lineRule="auto" w:line="240" w:before="240" w:after="2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val="343434"/>
          <w:sz w:val="24"/>
          <w:szCs w:val="24"/>
        </w:rPr>
        <w:t>Реализация проектируемого объекта позволит улучшить биологическую безопасность предприятия на территории цеха родительского стада кур «Пуховичи» филиала "Генетик-2" ОАО «Смолевичи Бройлер».</w:t>
      </w:r>
    </w:p>
    <w:p>
      <w:pPr>
        <w:pStyle w:val="Normal"/>
        <w:shd w:val="clear" w:color="auto" w:fill="FFFFFF"/>
        <w:spacing w:lineRule="auto" w:line="240" w:before="240" w:after="2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val="343434"/>
          <w:sz w:val="24"/>
          <w:szCs w:val="24"/>
        </w:rPr>
        <w:t xml:space="preserve">Уведомление о проведении общественных обсуждений будут размещены в электронном виде - на сайте Пуховичского районного исполнительного комитета </w:t>
      </w:r>
      <w:hyperlink r:id="rId2">
        <w:r>
          <w:rPr>
            <w:rFonts w:eastAsia="Times New Roman" w:cs="Arial" w:ascii="Times New Roman" w:hAnsi="Times New Roman"/>
            <w:color w:val="343434"/>
            <w:sz w:val="24"/>
            <w:szCs w:val="24"/>
          </w:rPr>
          <w:t>http://www.pukhovichi.gov.by</w:t>
        </w:r>
      </w:hyperlink>
      <w:r>
        <w:rPr>
          <w:rFonts w:eastAsia="Times New Roman" w:cs="Arial" w:ascii="Times New Roman" w:hAnsi="Times New Roman"/>
          <w:color w:val="343434"/>
          <w:sz w:val="24"/>
          <w:szCs w:val="24"/>
        </w:rPr>
        <w:t xml:space="preserve"> и в печатных средствах массовой информации - в газете «Пуховичские новости».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c45d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f7c72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Mcntmsonormal" w:customStyle="1">
    <w:name w:val="mcntmsonormal"/>
    <w:basedOn w:val="Normal"/>
    <w:qFormat/>
    <w:rsid w:val="00d924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BY" w:eastAsia="ru-BY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ukhovichi.gov.by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AFE7-C9D7-4A51-AC58-CD2A50C3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LibreOffice/6.4.6.2$Windows_x86 LibreOffice_project/0ce51a4fd21bff07a5c061082cc82c5ed232f115</Application>
  <Pages>2</Pages>
  <Words>445</Words>
  <Characters>3365</Characters>
  <CharactersWithSpaces>3885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2021-11-12T07:36:00Z</dcterms:created>
  <dc:creator>pks2</dc:creator>
  <dc:description/>
  <dc:language>ru-RU</dc:language>
  <cp:lastModifiedBy/>
  <cp:lastPrinted>2022-03-28T09:05:12Z</cp:lastPrinted>
  <dcterms:modified xsi:type="dcterms:W3CDTF">2022-04-01T10:15:15Z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