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Преступления против жизни, здоровья, половой неприкосновенности и половой свободы несовершеннолетних</w:t>
      </w:r>
    </w:p>
    <w:p w:rsid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037A21" w:rsidRP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 Вред, причиненный ребенку в результате насильственных преступлений, приводит к отклонениям в нравственном и психофизическом развитии несовершеннолетних и представляет угрозу для его будущего.</w:t>
      </w: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037A21" w:rsidRPr="00037A21" w:rsidRDefault="00037A21" w:rsidP="00037A2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</w:p>
    <w:p w:rsidR="00037A21" w:rsidRPr="00037A21" w:rsidRDefault="00037A21" w:rsidP="00037A2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прямая зависимость потерпевших несовершеннолетних от преступника. Субъекты преступления в этом случае могут выступать блокирующем фактором - использовать все возможные средства для того, чтобы о преступлении никто не узнал.</w:t>
      </w:r>
    </w:p>
    <w:p w:rsidR="00037A21" w:rsidRP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Справочно: </w:t>
      </w:r>
      <w:r w:rsidRPr="00037A21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lang w:eastAsia="ru-RU"/>
        </w:rPr>
        <w:t>Сексуальное насилие</w:t>
      </w: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 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037A21" w:rsidRPr="00037A21" w:rsidRDefault="00037A21" w:rsidP="00037A2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 xml:space="preserve">ласка и </w:t>
      </w:r>
      <w:proofErr w:type="spellStart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трогание</w:t>
      </w:r>
      <w:proofErr w:type="spellEnd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 xml:space="preserve"> запретных частей тела, </w:t>
      </w:r>
      <w:proofErr w:type="spellStart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эротизированная</w:t>
      </w:r>
      <w:proofErr w:type="spellEnd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 xml:space="preserve"> забота;</w:t>
      </w:r>
    </w:p>
    <w:p w:rsidR="00037A21" w:rsidRPr="00037A21" w:rsidRDefault="00037A21" w:rsidP="00037A2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037A21" w:rsidRPr="00037A21" w:rsidRDefault="00037A21" w:rsidP="00037A2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 xml:space="preserve">изнасилование в обычной форме, орально-генитальный и </w:t>
      </w:r>
      <w:proofErr w:type="spellStart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анально</w:t>
      </w:r>
      <w:proofErr w:type="spellEnd"/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-генитальный контакт;</w:t>
      </w:r>
    </w:p>
    <w:p w:rsidR="00037A21" w:rsidRP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lang w:eastAsia="ru-RU"/>
        </w:rPr>
        <w:t>Сексуальная эксплуатация</w:t>
      </w:r>
      <w:r w:rsidRPr="00037A21">
        <w:rPr>
          <w:rFonts w:ascii="Tahoma" w:eastAsia="Times New Roman" w:hAnsi="Tahoma" w:cs="Tahoma"/>
          <w:i/>
          <w:iCs/>
          <w:color w:val="333333"/>
          <w:sz w:val="21"/>
          <w:szCs w:val="21"/>
          <w:lang w:eastAsia="ru-RU"/>
        </w:rPr>
        <w:t> - порнографические фотографии и фильмы с участием детьми, проституция.</w:t>
      </w:r>
    </w:p>
    <w:p w:rsidR="00037A21" w:rsidRPr="00037A21" w:rsidRDefault="00037A21" w:rsidP="00037A21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  <w:r w:rsidR="001D74F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</w:t>
      </w:r>
      <w:r w:rsidR="001D74F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Наиболее часто несовершеннолетние признаются потерпевшими при расследовании уголовных дел, возбужденных по ст.ст.166, 167, 168, 169 УК Республики Беларусь и других.</w:t>
      </w:r>
    </w:p>
    <w:p w:rsidR="00037A21" w:rsidRPr="00037A21" w:rsidRDefault="00037A21" w:rsidP="00037A21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37A2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6D01FE" w:rsidRDefault="006D01FE"/>
    <w:sectPr w:rsidR="006D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7EE9"/>
    <w:multiLevelType w:val="multilevel"/>
    <w:tmpl w:val="037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E5834"/>
    <w:multiLevelType w:val="multilevel"/>
    <w:tmpl w:val="2EF6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22"/>
    <w:rsid w:val="00037A21"/>
    <w:rsid w:val="00111022"/>
    <w:rsid w:val="001D74FC"/>
    <w:rsid w:val="006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2024-09-23T09:46:00Z</dcterms:created>
  <dcterms:modified xsi:type="dcterms:W3CDTF">2024-09-23T09:54:00Z</dcterms:modified>
</cp:coreProperties>
</file>