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sz w:val="30"/>
          <w:szCs w:val="30"/>
        </w:rPr>
      </w:pPr>
      <w:bookmarkStart w:id="0" w:name="_GoBack"/>
      <w:bookmarkEnd w:id="0"/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r w:rsidRPr="00653477">
        <w:rPr>
          <w:rStyle w:val="a6"/>
          <w:color w:val="333333"/>
          <w:sz w:val="21"/>
          <w:szCs w:val="21"/>
        </w:rPr>
        <w:t>Информация об условиях кредитов КНР</w:t>
      </w:r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r w:rsidRPr="00653477">
        <w:rPr>
          <w:rStyle w:val="a6"/>
          <w:color w:val="333333"/>
          <w:sz w:val="21"/>
          <w:szCs w:val="21"/>
        </w:rPr>
        <w:t>Коммерческая</w:t>
      </w:r>
      <w:r w:rsidRPr="00653477">
        <w:rPr>
          <w:color w:val="333333"/>
          <w:sz w:val="21"/>
          <w:szCs w:val="21"/>
        </w:rPr>
        <w:t> </w:t>
      </w:r>
      <w:r w:rsidRPr="00653477">
        <w:rPr>
          <w:rStyle w:val="a6"/>
          <w:color w:val="333333"/>
          <w:sz w:val="21"/>
          <w:szCs w:val="21"/>
        </w:rPr>
        <w:t xml:space="preserve">кредитная линия </w:t>
      </w:r>
      <w:proofErr w:type="spellStart"/>
      <w:r w:rsidRPr="00653477">
        <w:rPr>
          <w:rStyle w:val="a6"/>
          <w:color w:val="333333"/>
          <w:sz w:val="21"/>
          <w:szCs w:val="21"/>
        </w:rPr>
        <w:t>Эксимбанка</w:t>
      </w:r>
      <w:proofErr w:type="spellEnd"/>
      <w:r w:rsidRPr="00653477">
        <w:rPr>
          <w:color w:val="333333"/>
          <w:sz w:val="21"/>
          <w:szCs w:val="21"/>
        </w:rPr>
        <w:t> Китая для финансирования малых и средних предприятий на территории Беларуси.</w:t>
      </w:r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proofErr w:type="gramStart"/>
      <w:r w:rsidRPr="00653477">
        <w:rPr>
          <w:rStyle w:val="a6"/>
          <w:i/>
          <w:iCs/>
          <w:color w:val="333333"/>
          <w:sz w:val="21"/>
          <w:szCs w:val="21"/>
          <w:u w:val="single"/>
        </w:rPr>
        <w:t>Условия кредитной линии:</w:t>
      </w:r>
      <w:r w:rsidRPr="00653477">
        <w:rPr>
          <w:i/>
          <w:iCs/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 xml:space="preserve">банк-оператор - ОАО «АСБ </w:t>
      </w:r>
      <w:proofErr w:type="spellStart"/>
      <w:r w:rsidRPr="00653477">
        <w:rPr>
          <w:rStyle w:val="a7"/>
          <w:color w:val="333333"/>
          <w:sz w:val="21"/>
          <w:szCs w:val="21"/>
        </w:rPr>
        <w:t>Беларусбанк</w:t>
      </w:r>
      <w:proofErr w:type="spellEnd"/>
      <w:r w:rsidRPr="00653477">
        <w:rPr>
          <w:rStyle w:val="a7"/>
          <w:color w:val="333333"/>
          <w:sz w:val="21"/>
          <w:szCs w:val="21"/>
        </w:rPr>
        <w:t>»;</w:t>
      </w:r>
      <w:r w:rsidRPr="00653477">
        <w:rPr>
          <w:i/>
          <w:iCs/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валюта - доллар США;</w:t>
      </w:r>
      <w:r w:rsidRPr="00653477">
        <w:rPr>
          <w:i/>
          <w:iCs/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процентная ставка - фиксированная, 3,95% годовых; срок - 3 года;</w:t>
      </w:r>
      <w:r w:rsidRPr="00653477">
        <w:rPr>
          <w:i/>
          <w:iCs/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погашение - единовременно в конце срока кредита; </w:t>
      </w:r>
      <w:r w:rsidRPr="00653477">
        <w:rPr>
          <w:i/>
          <w:iCs/>
          <w:color w:val="333333"/>
          <w:sz w:val="21"/>
          <w:szCs w:val="21"/>
        </w:rPr>
        <w:br/>
      </w:r>
      <w:hyperlink r:id="rId5" w:history="1">
        <w:r w:rsidRPr="00653477">
          <w:rPr>
            <w:rStyle w:val="a3"/>
            <w:b/>
            <w:bCs/>
            <w:i/>
            <w:iCs/>
            <w:color w:val="337AB7"/>
            <w:sz w:val="23"/>
            <w:szCs w:val="23"/>
          </w:rPr>
          <w:t>эффективная процентная ставка</w:t>
        </w:r>
      </w:hyperlink>
      <w:r w:rsidRPr="00653477">
        <w:rPr>
          <w:rStyle w:val="a7"/>
          <w:color w:val="333333"/>
          <w:sz w:val="21"/>
          <w:szCs w:val="21"/>
        </w:rPr>
        <w:t> </w:t>
      </w:r>
      <w:r w:rsidRPr="00653477">
        <w:rPr>
          <w:rStyle w:val="a6"/>
          <w:i/>
          <w:iCs/>
          <w:color w:val="333333"/>
          <w:sz w:val="21"/>
          <w:szCs w:val="21"/>
        </w:rPr>
        <w:t>- </w:t>
      </w:r>
      <w:r w:rsidRPr="00653477">
        <w:rPr>
          <w:rStyle w:val="a7"/>
          <w:color w:val="333333"/>
          <w:sz w:val="21"/>
          <w:szCs w:val="21"/>
        </w:rPr>
        <w:t>4,2% (без учета маржи банка-оператора);</w:t>
      </w:r>
      <w:r w:rsidRPr="00653477">
        <w:rPr>
          <w:i/>
          <w:iCs/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маржа банка-оператора к процентной ставке - не более 2,0% годовых;</w:t>
      </w:r>
      <w:r w:rsidRPr="00653477">
        <w:rPr>
          <w:i/>
          <w:iCs/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требование по китайской составляющей: не менее 15% от общей суммы кредитуемых СМР;</w:t>
      </w:r>
      <w:proofErr w:type="gramEnd"/>
      <w:r w:rsidRPr="00653477">
        <w:rPr>
          <w:rStyle w:val="a7"/>
          <w:color w:val="333333"/>
          <w:sz w:val="21"/>
          <w:szCs w:val="21"/>
        </w:rPr>
        <w:t xml:space="preserve"> 50% от общей суммы кредитуемых оборудования /материалов;</w:t>
      </w:r>
      <w:r w:rsidRPr="00653477">
        <w:rPr>
          <w:i/>
          <w:iCs/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доля финансирования: до 85% от стоимости коммерческого контракта.</w:t>
      </w:r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r w:rsidRPr="00653477">
        <w:rPr>
          <w:color w:val="333333"/>
          <w:sz w:val="21"/>
          <w:szCs w:val="21"/>
        </w:rPr>
        <w:t>Более масштабные и долгосрочные проекты малого и среднего бизнеса предлагается финансировать за счет </w:t>
      </w:r>
      <w:r w:rsidRPr="00653477">
        <w:rPr>
          <w:rStyle w:val="a6"/>
          <w:color w:val="333333"/>
          <w:sz w:val="21"/>
          <w:szCs w:val="21"/>
        </w:rPr>
        <w:t>кредитной линии Банка развития Китая</w:t>
      </w:r>
      <w:r w:rsidRPr="00653477">
        <w:rPr>
          <w:color w:val="333333"/>
          <w:sz w:val="21"/>
          <w:szCs w:val="21"/>
        </w:rPr>
        <w:t>. </w:t>
      </w:r>
      <w:r w:rsidRPr="00653477">
        <w:rPr>
          <w:color w:val="333333"/>
          <w:sz w:val="21"/>
          <w:szCs w:val="21"/>
        </w:rPr>
        <w:br/>
        <w:t>Банком развития Китая заключены генеральные кредитные соглашения с двумя белорусскими банками о предоставлении кредитных линий - </w:t>
      </w:r>
      <w:r w:rsidRPr="00653477">
        <w:rPr>
          <w:rStyle w:val="a6"/>
          <w:color w:val="333333"/>
          <w:sz w:val="21"/>
          <w:szCs w:val="21"/>
        </w:rPr>
        <w:t xml:space="preserve">с </w:t>
      </w:r>
      <w:proofErr w:type="spellStart"/>
      <w:r w:rsidRPr="00653477">
        <w:rPr>
          <w:rStyle w:val="a6"/>
          <w:color w:val="333333"/>
          <w:sz w:val="21"/>
          <w:szCs w:val="21"/>
        </w:rPr>
        <w:t>Беларусбанком</w:t>
      </w:r>
      <w:proofErr w:type="spellEnd"/>
      <w:r w:rsidRPr="00653477">
        <w:rPr>
          <w:rStyle w:val="a6"/>
          <w:color w:val="333333"/>
          <w:sz w:val="21"/>
          <w:szCs w:val="21"/>
        </w:rPr>
        <w:t xml:space="preserve"> и с Банком развития Беларуси.</w:t>
      </w:r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r w:rsidRPr="00653477">
        <w:rPr>
          <w:rStyle w:val="a7"/>
          <w:color w:val="333333"/>
          <w:sz w:val="21"/>
          <w:szCs w:val="21"/>
        </w:rPr>
        <w:t>Условия предоставления кредитных линий: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срок кредитования — 15 лет, в том числе льготный период 5 лет;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 процентная ставка - Либор 6 мес.+4% годовых (на 10.11.2015 -4,6% годовых);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средняя </w:t>
      </w:r>
      <w:hyperlink r:id="rId6" w:history="1">
        <w:r w:rsidRPr="00653477">
          <w:rPr>
            <w:rStyle w:val="a3"/>
            <w:i/>
            <w:iCs/>
            <w:color w:val="337AB7"/>
            <w:sz w:val="23"/>
            <w:szCs w:val="23"/>
          </w:rPr>
          <w:t>эффективная процентная ставка</w:t>
        </w:r>
      </w:hyperlink>
      <w:r w:rsidRPr="00653477">
        <w:rPr>
          <w:rStyle w:val="a7"/>
          <w:color w:val="333333"/>
          <w:sz w:val="21"/>
          <w:szCs w:val="21"/>
        </w:rPr>
        <w:t> - 4,9% на 01.10.2015 (без учета маржи белорусских банков).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Минимальная сумма одного кредита или пакета кредитов для направления в Банк развития Китая для одобрения 1 млн. долл. США.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Минимальный размер китайской составляющей: - 50% от всех одобренных Банком кредитов в каждом календарном году.</w:t>
      </w:r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proofErr w:type="gramStart"/>
      <w:r w:rsidRPr="00653477">
        <w:rPr>
          <w:rStyle w:val="a6"/>
          <w:color w:val="333333"/>
          <w:sz w:val="21"/>
          <w:szCs w:val="21"/>
        </w:rPr>
        <w:t xml:space="preserve">Достигнуто согласие о выделении в рамках кредитной линии, открытой для </w:t>
      </w:r>
      <w:proofErr w:type="spellStart"/>
      <w:r w:rsidRPr="00653477">
        <w:rPr>
          <w:rStyle w:val="a6"/>
          <w:color w:val="333333"/>
          <w:sz w:val="21"/>
          <w:szCs w:val="21"/>
        </w:rPr>
        <w:t>Беларусбанка</w:t>
      </w:r>
      <w:proofErr w:type="spellEnd"/>
      <w:r w:rsidRPr="00653477">
        <w:rPr>
          <w:rStyle w:val="a6"/>
          <w:color w:val="333333"/>
          <w:sz w:val="21"/>
          <w:szCs w:val="21"/>
        </w:rPr>
        <w:t>, части ресурсов </w:t>
      </w:r>
      <w:r w:rsidRPr="00653477">
        <w:rPr>
          <w:rStyle w:val="a6"/>
          <w:color w:val="333333"/>
          <w:sz w:val="21"/>
          <w:szCs w:val="21"/>
          <w:u w:val="single"/>
        </w:rPr>
        <w:t>на следующих условиях:</w:t>
      </w:r>
      <w:r w:rsidRPr="00653477">
        <w:rPr>
          <w:b/>
          <w:bCs/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срок кредитования - 15 лет, в том числе льготный период 5 лет;</w:t>
      </w:r>
      <w:r w:rsidRPr="00653477">
        <w:rPr>
          <w:color w:val="333333"/>
          <w:sz w:val="21"/>
          <w:szCs w:val="21"/>
        </w:rPr>
        <w:br/>
      </w:r>
      <w:hyperlink r:id="rId7" w:history="1">
        <w:r w:rsidRPr="00653477">
          <w:rPr>
            <w:rStyle w:val="a3"/>
            <w:i/>
            <w:iCs/>
            <w:color w:val="337AB7"/>
            <w:sz w:val="23"/>
            <w:szCs w:val="23"/>
          </w:rPr>
          <w:t>эффективная процентная ставка</w:t>
        </w:r>
      </w:hyperlink>
      <w:r w:rsidRPr="00653477">
        <w:rPr>
          <w:rStyle w:val="a7"/>
          <w:color w:val="333333"/>
          <w:sz w:val="21"/>
          <w:szCs w:val="21"/>
        </w:rPr>
        <w:t> - 4,8% (без учета маржи белорусского банка);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минимальная сумма одного кредита — 0,3 млн. долл. США; срок одобрения проектов Банком развития Китая - 1 месяц.</w:t>
      </w:r>
      <w:proofErr w:type="gramEnd"/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r w:rsidRPr="00653477">
        <w:rPr>
          <w:rStyle w:val="a6"/>
          <w:color w:val="333333"/>
          <w:sz w:val="21"/>
          <w:szCs w:val="21"/>
        </w:rPr>
        <w:t>Льготные кредитные ресурсы КНР</w:t>
      </w:r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r w:rsidRPr="00653477">
        <w:rPr>
          <w:rStyle w:val="a6"/>
          <w:color w:val="333333"/>
          <w:sz w:val="21"/>
          <w:szCs w:val="21"/>
        </w:rPr>
        <w:t>1. В долларах</w:t>
      </w:r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r w:rsidRPr="00653477">
        <w:rPr>
          <w:rStyle w:val="a6"/>
          <w:color w:val="333333"/>
          <w:sz w:val="21"/>
          <w:szCs w:val="21"/>
        </w:rPr>
        <w:t xml:space="preserve">С </w:t>
      </w:r>
      <w:proofErr w:type="spellStart"/>
      <w:r w:rsidRPr="00653477">
        <w:rPr>
          <w:rStyle w:val="a6"/>
          <w:color w:val="333333"/>
          <w:sz w:val="21"/>
          <w:szCs w:val="21"/>
        </w:rPr>
        <w:t>Эксимбанком</w:t>
      </w:r>
      <w:proofErr w:type="spellEnd"/>
      <w:r w:rsidRPr="00653477">
        <w:rPr>
          <w:color w:val="333333"/>
          <w:sz w:val="21"/>
          <w:szCs w:val="21"/>
        </w:rPr>
        <w:t> зафиксированы </w:t>
      </w:r>
      <w:r w:rsidRPr="00653477">
        <w:rPr>
          <w:color w:val="333333"/>
          <w:sz w:val="21"/>
          <w:szCs w:val="21"/>
          <w:u w:val="single"/>
        </w:rPr>
        <w:t>условия привлечения льготных покупательских кредитов</w:t>
      </w:r>
      <w:r w:rsidRPr="00653477">
        <w:rPr>
          <w:color w:val="333333"/>
          <w:sz w:val="21"/>
          <w:szCs w:val="21"/>
        </w:rPr>
        <w:t>: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валюта: доллар США;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процентная ставка: фиксированная, не менее 2% годовых;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срок: до 15-20 лет;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льготный период: до 5-7 лет;</w:t>
      </w:r>
      <w:r w:rsidRPr="00653477">
        <w:rPr>
          <w:color w:val="333333"/>
          <w:sz w:val="21"/>
          <w:szCs w:val="21"/>
        </w:rPr>
        <w:br/>
      </w:r>
      <w:hyperlink r:id="rId8" w:history="1">
        <w:r w:rsidRPr="00653477">
          <w:rPr>
            <w:rStyle w:val="a3"/>
            <w:i/>
            <w:iCs/>
            <w:color w:val="337AB7"/>
            <w:sz w:val="23"/>
            <w:szCs w:val="23"/>
          </w:rPr>
          <w:t>эффективная процентная ставка</w:t>
        </w:r>
      </w:hyperlink>
      <w:r w:rsidRPr="00653477">
        <w:rPr>
          <w:rStyle w:val="a7"/>
          <w:color w:val="333333"/>
          <w:sz w:val="21"/>
          <w:szCs w:val="21"/>
        </w:rPr>
        <w:t> (далее - ЭПС): 2,1%;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доля финансирования: до 85% от стоимости коммерческого контракта (без учета НДС и таможенных пошлин).</w:t>
      </w:r>
      <w:r w:rsidRPr="00653477">
        <w:rPr>
          <w:color w:val="333333"/>
          <w:sz w:val="21"/>
          <w:szCs w:val="21"/>
        </w:rPr>
        <w:br/>
        <w:t xml:space="preserve">Размер китайской составляющей будет согласовываться белорусской стороной с </w:t>
      </w:r>
      <w:proofErr w:type="spellStart"/>
      <w:r w:rsidRPr="00653477">
        <w:rPr>
          <w:color w:val="333333"/>
          <w:sz w:val="21"/>
          <w:szCs w:val="21"/>
        </w:rPr>
        <w:t>Минкоммерции</w:t>
      </w:r>
      <w:proofErr w:type="spellEnd"/>
      <w:r w:rsidRPr="00653477">
        <w:rPr>
          <w:color w:val="333333"/>
          <w:sz w:val="21"/>
          <w:szCs w:val="21"/>
        </w:rPr>
        <w:t xml:space="preserve"> Китая индивидуально по каждому проекту. </w:t>
      </w:r>
      <w:r w:rsidRPr="00653477">
        <w:rPr>
          <w:color w:val="333333"/>
          <w:sz w:val="21"/>
          <w:szCs w:val="21"/>
        </w:rPr>
        <w:br/>
        <w:t>Льготные покупательские кредиты предоставляются для реализации исключительно новых проектов.</w:t>
      </w:r>
      <w:r w:rsidRPr="00653477">
        <w:rPr>
          <w:color w:val="333333"/>
          <w:sz w:val="21"/>
          <w:szCs w:val="21"/>
        </w:rPr>
        <w:br/>
        <w:t xml:space="preserve">Генподрядчиком по кредитуемому проекту должна быть китайская компания, выбранная на конкурсе из предварительно рекомендованного </w:t>
      </w:r>
      <w:proofErr w:type="spellStart"/>
      <w:r w:rsidRPr="00653477">
        <w:rPr>
          <w:color w:val="333333"/>
          <w:sz w:val="21"/>
          <w:szCs w:val="21"/>
        </w:rPr>
        <w:t>Минкоммерции</w:t>
      </w:r>
      <w:proofErr w:type="spellEnd"/>
      <w:r w:rsidRPr="00653477">
        <w:rPr>
          <w:color w:val="333333"/>
          <w:sz w:val="21"/>
          <w:szCs w:val="21"/>
        </w:rPr>
        <w:t xml:space="preserve"> перечня.</w:t>
      </w:r>
      <w:r w:rsidRPr="00653477">
        <w:rPr>
          <w:color w:val="333333"/>
          <w:sz w:val="21"/>
          <w:szCs w:val="21"/>
        </w:rPr>
        <w:br/>
        <w:t>Сумма кредита должна составлять не менее 20 млн. долл. США.</w:t>
      </w:r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r w:rsidRPr="00653477">
        <w:rPr>
          <w:rStyle w:val="a6"/>
          <w:color w:val="333333"/>
          <w:sz w:val="21"/>
          <w:szCs w:val="21"/>
        </w:rPr>
        <w:t>2. В юанях</w:t>
      </w:r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rPr>
          <w:color w:val="333333"/>
          <w:sz w:val="21"/>
          <w:szCs w:val="21"/>
        </w:rPr>
      </w:pPr>
      <w:r w:rsidRPr="00653477">
        <w:rPr>
          <w:color w:val="333333"/>
          <w:sz w:val="21"/>
          <w:szCs w:val="21"/>
        </w:rPr>
        <w:t xml:space="preserve">Условия выделения </w:t>
      </w:r>
      <w:proofErr w:type="spellStart"/>
      <w:r w:rsidRPr="00653477">
        <w:rPr>
          <w:color w:val="333333"/>
          <w:sz w:val="21"/>
          <w:szCs w:val="21"/>
        </w:rPr>
        <w:t>юаневых</w:t>
      </w:r>
      <w:proofErr w:type="spellEnd"/>
      <w:r w:rsidRPr="00653477">
        <w:rPr>
          <w:color w:val="333333"/>
          <w:sz w:val="21"/>
          <w:szCs w:val="21"/>
        </w:rPr>
        <w:t xml:space="preserve"> кредитов аналогичны условиям льготных покупательских кредитов в долларах США.</w:t>
      </w:r>
      <w:r w:rsidRPr="00653477">
        <w:rPr>
          <w:color w:val="333333"/>
          <w:sz w:val="21"/>
          <w:szCs w:val="21"/>
        </w:rPr>
        <w:br/>
      </w:r>
      <w:proofErr w:type="gramStart"/>
      <w:r w:rsidRPr="00653477">
        <w:rPr>
          <w:rStyle w:val="a7"/>
          <w:color w:val="333333"/>
          <w:sz w:val="21"/>
          <w:szCs w:val="21"/>
        </w:rPr>
        <w:lastRenderedPageBreak/>
        <w:t>Условия льготных правительственных кредитов: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 валюта: китайский юань;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процентная ставка: фиксированная, 2% годовых;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срок: до 15-20 лет;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льготный период: до 5-7лет;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комиссия за обязательство: 0,25% годовых;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комиссия за организацию: 0,25%;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ЭПС:2,1%;</w:t>
      </w:r>
      <w:r w:rsidRPr="00653477">
        <w:rPr>
          <w:color w:val="333333"/>
          <w:sz w:val="21"/>
          <w:szCs w:val="21"/>
        </w:rPr>
        <w:br/>
      </w:r>
      <w:r w:rsidRPr="00653477">
        <w:rPr>
          <w:rStyle w:val="a7"/>
          <w:color w:val="333333"/>
          <w:sz w:val="21"/>
          <w:szCs w:val="21"/>
        </w:rPr>
        <w:t>доля финансирования: до 100% от стоимости коммерческого контракта.</w:t>
      </w:r>
      <w:proofErr w:type="gramEnd"/>
    </w:p>
    <w:p w:rsidR="00653477" w:rsidRPr="00653477" w:rsidRDefault="00653477" w:rsidP="00653477">
      <w:pPr>
        <w:pStyle w:val="a5"/>
        <w:shd w:val="clear" w:color="auto" w:fill="EFF3F6"/>
        <w:spacing w:before="0" w:beforeAutospacing="0" w:after="153" w:afterAutospacing="0"/>
        <w:jc w:val="center"/>
        <w:rPr>
          <w:color w:val="333333"/>
          <w:sz w:val="21"/>
          <w:szCs w:val="21"/>
        </w:rPr>
      </w:pPr>
      <w:r w:rsidRPr="00653477">
        <w:rPr>
          <w:rStyle w:val="a6"/>
          <w:color w:val="333333"/>
          <w:sz w:val="21"/>
          <w:szCs w:val="21"/>
        </w:rPr>
        <w:t>УСЛОВИЯ ПРИВЛЕЧЕНИЯ КИТАЙСКИХ КРЕДИТОВ (отдельные линии)</w:t>
      </w:r>
    </w:p>
    <w:tbl>
      <w:tblPr>
        <w:tblW w:w="9871" w:type="dxa"/>
        <w:shd w:val="clear" w:color="auto" w:fill="EFF3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820"/>
        <w:gridCol w:w="1549"/>
        <w:gridCol w:w="1489"/>
        <w:gridCol w:w="921"/>
        <w:gridCol w:w="1134"/>
        <w:gridCol w:w="1417"/>
      </w:tblGrid>
      <w:tr w:rsidR="00653477" w:rsidRPr="00653477" w:rsidTr="00653477">
        <w:tc>
          <w:tcPr>
            <w:tcW w:w="1541" w:type="dxa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53477" w:rsidRPr="00653477" w:rsidRDefault="00653477">
            <w:pPr>
              <w:spacing w:after="30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53477">
              <w:rPr>
                <w:rFonts w:ascii="Times New Roman" w:hAnsi="Times New Roman" w:cs="Times New Roman"/>
                <w:b/>
                <w:bCs/>
                <w:color w:val="FFFFFF"/>
              </w:rPr>
              <w:t>Показатели</w:t>
            </w:r>
          </w:p>
        </w:tc>
        <w:tc>
          <w:tcPr>
            <w:tcW w:w="3369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53477" w:rsidRPr="00653477" w:rsidRDefault="00653477">
            <w:pPr>
              <w:spacing w:after="30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53477">
              <w:rPr>
                <w:rFonts w:ascii="Times New Roman" w:hAnsi="Times New Roman" w:cs="Times New Roman"/>
                <w:b/>
                <w:bCs/>
                <w:color w:val="FFFFFF"/>
              </w:rPr>
              <w:t>Генеральное кредитное соглашение о предоставлении льготного покупательского кредита</w:t>
            </w:r>
          </w:p>
        </w:tc>
        <w:tc>
          <w:tcPr>
            <w:tcW w:w="241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53477" w:rsidRPr="00653477" w:rsidRDefault="00653477">
            <w:pPr>
              <w:spacing w:after="30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53477">
              <w:rPr>
                <w:rFonts w:ascii="Times New Roman" w:hAnsi="Times New Roman" w:cs="Times New Roman"/>
                <w:b/>
                <w:bCs/>
                <w:color w:val="FFFFFF"/>
              </w:rPr>
              <w:t>Генеральное кредитное соглашение о предоставлении покупательского кредита под гарантии Правительства</w:t>
            </w:r>
          </w:p>
        </w:tc>
        <w:tc>
          <w:tcPr>
            <w:tcW w:w="2551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53477" w:rsidRPr="00653477" w:rsidRDefault="00653477">
            <w:pPr>
              <w:spacing w:after="30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53477">
              <w:rPr>
                <w:rFonts w:ascii="Times New Roman" w:hAnsi="Times New Roman" w:cs="Times New Roman"/>
                <w:b/>
                <w:bCs/>
                <w:color w:val="FFFFFF"/>
              </w:rPr>
              <w:t>Индикативные условия по новым кредитам</w:t>
            </w:r>
          </w:p>
        </w:tc>
      </w:tr>
      <w:tr w:rsidR="00653477" w:rsidRPr="00653477" w:rsidTr="00653477">
        <w:tc>
          <w:tcPr>
            <w:tcW w:w="1541" w:type="dxa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:rsidR="00653477" w:rsidRPr="00653477" w:rsidRDefault="00653477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53477" w:rsidRPr="00653477" w:rsidRDefault="00653477">
            <w:pPr>
              <w:spacing w:after="30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53477">
              <w:rPr>
                <w:rFonts w:ascii="Times New Roman" w:hAnsi="Times New Roman" w:cs="Times New Roman"/>
                <w:b/>
                <w:bCs/>
                <w:color w:val="FFFFFF"/>
              </w:rPr>
              <w:t>от 7 июня 2010 г.</w:t>
            </w:r>
          </w:p>
        </w:tc>
        <w:tc>
          <w:tcPr>
            <w:tcW w:w="154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53477" w:rsidRPr="00653477" w:rsidRDefault="00653477">
            <w:pPr>
              <w:spacing w:after="30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53477">
              <w:rPr>
                <w:rFonts w:ascii="Times New Roman" w:hAnsi="Times New Roman" w:cs="Times New Roman"/>
                <w:b/>
                <w:bCs/>
                <w:color w:val="FFFFFF"/>
              </w:rPr>
              <w:t>от 7 ноября 2011 г.</w:t>
            </w:r>
          </w:p>
        </w:tc>
        <w:tc>
          <w:tcPr>
            <w:tcW w:w="148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53477" w:rsidRPr="00653477" w:rsidRDefault="00653477">
            <w:pPr>
              <w:spacing w:after="30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53477">
              <w:rPr>
                <w:rFonts w:ascii="Times New Roman" w:hAnsi="Times New Roman" w:cs="Times New Roman"/>
                <w:b/>
                <w:bCs/>
                <w:color w:val="FFFFFF"/>
              </w:rPr>
              <w:t>от 10 мая 2015 г.</w:t>
            </w:r>
          </w:p>
        </w:tc>
        <w:tc>
          <w:tcPr>
            <w:tcW w:w="92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53477" w:rsidRPr="00653477" w:rsidRDefault="00653477">
            <w:pPr>
              <w:spacing w:after="30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53477">
              <w:rPr>
                <w:rFonts w:ascii="Times New Roman" w:hAnsi="Times New Roman" w:cs="Times New Roman"/>
                <w:b/>
                <w:bCs/>
                <w:color w:val="FFFFFF"/>
              </w:rPr>
              <w:t>от 10 мая 2015 г.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53477" w:rsidRPr="00653477" w:rsidRDefault="00653477">
            <w:pPr>
              <w:spacing w:after="30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53477">
              <w:rPr>
                <w:rFonts w:ascii="Times New Roman" w:hAnsi="Times New Roman" w:cs="Times New Roman"/>
                <w:b/>
                <w:bCs/>
                <w:color w:val="FFFFFF"/>
              </w:rPr>
              <w:t>по льготным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15151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653477" w:rsidRPr="00653477" w:rsidRDefault="00653477">
            <w:pPr>
              <w:spacing w:after="306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53477">
              <w:rPr>
                <w:rFonts w:ascii="Times New Roman" w:hAnsi="Times New Roman" w:cs="Times New Roman"/>
                <w:b/>
                <w:bCs/>
                <w:color w:val="FFFFFF"/>
              </w:rPr>
              <w:t>по коммерческим</w:t>
            </w:r>
          </w:p>
        </w:tc>
      </w:tr>
      <w:tr w:rsidR="00653477" w:rsidRPr="00653477" w:rsidTr="00653477">
        <w:tc>
          <w:tcPr>
            <w:tcW w:w="15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Займодавец</w:t>
            </w:r>
          </w:p>
        </w:tc>
        <w:tc>
          <w:tcPr>
            <w:tcW w:w="3369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Экспортно-импортный банк Китая</w:t>
            </w:r>
          </w:p>
        </w:tc>
        <w:tc>
          <w:tcPr>
            <w:tcW w:w="241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Государственный банк развития Китая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653477" w:rsidRPr="00653477" w:rsidTr="00653477">
        <w:tc>
          <w:tcPr>
            <w:tcW w:w="15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Заемщик</w:t>
            </w:r>
          </w:p>
        </w:tc>
        <w:tc>
          <w:tcPr>
            <w:tcW w:w="3369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Правительство Республики Беларусь (в лице Минфина)</w:t>
            </w:r>
          </w:p>
        </w:tc>
        <w:tc>
          <w:tcPr>
            <w:tcW w:w="148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ОАО «Банк развития Республики Беларусь»</w:t>
            </w:r>
          </w:p>
        </w:tc>
        <w:tc>
          <w:tcPr>
            <w:tcW w:w="92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ОАО «АСБ </w:t>
            </w:r>
            <w:proofErr w:type="spellStart"/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Беларусбанк</w:t>
            </w:r>
            <w:proofErr w:type="spellEnd"/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653477" w:rsidRPr="00653477" w:rsidTr="00653477">
        <w:tc>
          <w:tcPr>
            <w:tcW w:w="15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Неиспользованный остаток, млн. долл. США</w:t>
            </w:r>
          </w:p>
        </w:tc>
        <w:tc>
          <w:tcPr>
            <w:tcW w:w="18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-</w:t>
            </w:r>
          </w:p>
        </w:tc>
        <w:tc>
          <w:tcPr>
            <w:tcW w:w="154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8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700</w:t>
            </w:r>
          </w:p>
        </w:tc>
        <w:tc>
          <w:tcPr>
            <w:tcW w:w="92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300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653477" w:rsidRPr="00653477" w:rsidTr="00653477">
        <w:tc>
          <w:tcPr>
            <w:tcW w:w="15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Срок кредита/льготный период, лет</w:t>
            </w:r>
          </w:p>
        </w:tc>
        <w:tc>
          <w:tcPr>
            <w:tcW w:w="3369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15/5</w:t>
            </w:r>
          </w:p>
        </w:tc>
        <w:tc>
          <w:tcPr>
            <w:tcW w:w="241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15/5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20/10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20/10</w:t>
            </w:r>
          </w:p>
        </w:tc>
      </w:tr>
      <w:tr w:rsidR="00653477" w:rsidRPr="00653477" w:rsidTr="00653477">
        <w:tc>
          <w:tcPr>
            <w:tcW w:w="15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Ставка, % </w:t>
            </w:r>
            <w:proofErr w:type="gramStart"/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годовых</w:t>
            </w:r>
            <w:proofErr w:type="gramEnd"/>
          </w:p>
        </w:tc>
        <w:tc>
          <w:tcPr>
            <w:tcW w:w="18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3 фиксированная</w:t>
            </w:r>
          </w:p>
        </w:tc>
        <w:tc>
          <w:tcPr>
            <w:tcW w:w="154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 фиксированна</w:t>
            </w: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>я</w:t>
            </w:r>
          </w:p>
        </w:tc>
        <w:tc>
          <w:tcPr>
            <w:tcW w:w="241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 xml:space="preserve">шестимесячная ставка LIBOR + маржа банка КНР + маржа </w:t>
            </w: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>белорусского банка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>2 фиксиров</w:t>
            </w: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>анная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DEDED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 xml:space="preserve">шестимесячная ставка LIBOR + 3 </w:t>
            </w: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>% (маржа китайского банка)</w:t>
            </w:r>
          </w:p>
        </w:tc>
      </w:tr>
      <w:tr w:rsidR="00653477" w:rsidRPr="00653477" w:rsidTr="00653477">
        <w:tc>
          <w:tcPr>
            <w:tcW w:w="15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 xml:space="preserve">Эффективная процентная ставка для конечного пользователя, % </w:t>
            </w:r>
            <w:proofErr w:type="gramStart"/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годовых</w:t>
            </w:r>
            <w:proofErr w:type="gramEnd"/>
          </w:p>
        </w:tc>
        <w:tc>
          <w:tcPr>
            <w:tcW w:w="18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3,2</w:t>
            </w:r>
          </w:p>
        </w:tc>
        <w:tc>
          <w:tcPr>
            <w:tcW w:w="154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2,2</w:t>
            </w:r>
          </w:p>
        </w:tc>
        <w:tc>
          <w:tcPr>
            <w:tcW w:w="241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6,7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653477" w:rsidRPr="00653477" w:rsidTr="00653477">
        <w:tc>
          <w:tcPr>
            <w:tcW w:w="15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proofErr w:type="gramStart"/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Китайская составляющая в проекте («связанность», % от стоимости контракта (без НДС)</w:t>
            </w:r>
            <w:proofErr w:type="gramEnd"/>
          </w:p>
        </w:tc>
        <w:tc>
          <w:tcPr>
            <w:tcW w:w="18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не менее 50</w:t>
            </w:r>
          </w:p>
        </w:tc>
        <w:tc>
          <w:tcPr>
            <w:tcW w:w="154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не менее 50</w:t>
            </w:r>
          </w:p>
        </w:tc>
        <w:tc>
          <w:tcPr>
            <w:tcW w:w="241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не менее 50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до 0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4E4E4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не более 30</w:t>
            </w:r>
          </w:p>
        </w:tc>
      </w:tr>
      <w:tr w:rsidR="00653477" w:rsidRPr="00653477" w:rsidTr="00653477">
        <w:tc>
          <w:tcPr>
            <w:tcW w:w="15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Финансируемая часть контракта, % от стоимости контракта (без НДС)</w:t>
            </w:r>
          </w:p>
        </w:tc>
        <w:tc>
          <w:tcPr>
            <w:tcW w:w="182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не более 85</w:t>
            </w:r>
          </w:p>
        </w:tc>
        <w:tc>
          <w:tcPr>
            <w:tcW w:w="154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не более 95</w:t>
            </w:r>
          </w:p>
        </w:tc>
        <w:tc>
          <w:tcPr>
            <w:tcW w:w="241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не более 85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не менее 95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3" w:type="dxa"/>
              <w:left w:w="123" w:type="dxa"/>
              <w:bottom w:w="123" w:type="dxa"/>
              <w:right w:w="123" w:type="dxa"/>
            </w:tcMar>
            <w:hideMark/>
          </w:tcPr>
          <w:p w:rsidR="00653477" w:rsidRPr="00653477" w:rsidRDefault="00653477">
            <w:pPr>
              <w:spacing w:after="306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653477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не менее 85</w:t>
            </w:r>
          </w:p>
        </w:tc>
      </w:tr>
    </w:tbl>
    <w:p w:rsidR="00653477" w:rsidRPr="00653477" w:rsidRDefault="00653477" w:rsidP="00215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C6C47" w:rsidRPr="00653477" w:rsidRDefault="003C6C47" w:rsidP="003C6C47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aps/>
          <w:color w:val="auto"/>
          <w:spacing w:val="-14"/>
          <w:sz w:val="30"/>
          <w:szCs w:val="30"/>
        </w:rPr>
      </w:pPr>
      <w:r w:rsidRPr="00653477">
        <w:rPr>
          <w:rFonts w:ascii="Times New Roman" w:hAnsi="Times New Roman" w:cs="Times New Roman"/>
          <w:b w:val="0"/>
          <w:caps/>
          <w:color w:val="auto"/>
          <w:spacing w:val="-14"/>
          <w:sz w:val="30"/>
          <w:szCs w:val="30"/>
        </w:rPr>
        <w:t xml:space="preserve">  </w:t>
      </w:r>
    </w:p>
    <w:p w:rsidR="00C56874" w:rsidRPr="00653477" w:rsidRDefault="00C56874" w:rsidP="00C56874">
      <w:pPr>
        <w:spacing w:after="0" w:line="240" w:lineRule="auto"/>
        <w:rPr>
          <w:rStyle w:val="msg-body-block"/>
          <w:rFonts w:ascii="Times New Roman" w:hAnsi="Times New Roman" w:cs="Times New Roman"/>
          <w:color w:val="000000"/>
          <w:sz w:val="27"/>
          <w:szCs w:val="27"/>
          <w:shd w:val="clear" w:color="auto" w:fill="F7F8F9"/>
        </w:rPr>
      </w:pPr>
    </w:p>
    <w:p w:rsidR="00215A73" w:rsidRPr="00653477" w:rsidRDefault="00215A73" w:rsidP="00E51FEF">
      <w:pPr>
        <w:rPr>
          <w:rFonts w:ascii="Times New Roman" w:hAnsi="Times New Roman" w:cs="Times New Roman"/>
          <w:sz w:val="18"/>
          <w:szCs w:val="18"/>
        </w:rPr>
      </w:pPr>
    </w:p>
    <w:sectPr w:rsidR="00215A73" w:rsidRPr="00653477" w:rsidSect="00D60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0958"/>
    <w:rsid w:val="00215A73"/>
    <w:rsid w:val="003C6C47"/>
    <w:rsid w:val="003E79A2"/>
    <w:rsid w:val="004A3CD5"/>
    <w:rsid w:val="00653477"/>
    <w:rsid w:val="00655315"/>
    <w:rsid w:val="00754169"/>
    <w:rsid w:val="00780958"/>
    <w:rsid w:val="007B0B38"/>
    <w:rsid w:val="008F0C7A"/>
    <w:rsid w:val="0099511F"/>
    <w:rsid w:val="00A34B5F"/>
    <w:rsid w:val="00A829B1"/>
    <w:rsid w:val="00B70A0D"/>
    <w:rsid w:val="00C56874"/>
    <w:rsid w:val="00C60481"/>
    <w:rsid w:val="00D60FC9"/>
    <w:rsid w:val="00E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C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C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E51FEF"/>
    <w:pPr>
      <w:keepNext/>
      <w:spacing w:after="0" w:line="240" w:lineRule="auto"/>
      <w:ind w:left="-1122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0958"/>
  </w:style>
  <w:style w:type="character" w:customStyle="1" w:styleId="msg-body-block">
    <w:name w:val="msg-body-block"/>
    <w:basedOn w:val="a0"/>
    <w:rsid w:val="00780958"/>
  </w:style>
  <w:style w:type="character" w:styleId="a3">
    <w:name w:val="Hyperlink"/>
    <w:basedOn w:val="a0"/>
    <w:uiPriority w:val="99"/>
    <w:unhideWhenUsed/>
    <w:rsid w:val="00780958"/>
    <w:rPr>
      <w:color w:val="0000FF"/>
      <w:u w:val="single"/>
    </w:rPr>
  </w:style>
  <w:style w:type="table" w:styleId="a4">
    <w:name w:val="Table Grid"/>
    <w:basedOn w:val="a1"/>
    <w:uiPriority w:val="59"/>
    <w:rsid w:val="00C56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E51FEF"/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a5">
    <w:name w:val="Normal (Web)"/>
    <w:basedOn w:val="a"/>
    <w:uiPriority w:val="99"/>
    <w:semiHidden/>
    <w:unhideWhenUsed/>
    <w:rsid w:val="003E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C6C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653477"/>
    <w:rPr>
      <w:b/>
      <w:bCs/>
    </w:rPr>
  </w:style>
  <w:style w:type="character" w:styleId="a7">
    <w:name w:val="Emphasis"/>
    <w:basedOn w:val="a0"/>
    <w:uiPriority w:val="20"/>
    <w:qFormat/>
    <w:rsid w:val="006534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otimsk.gov.by/dfiles/000447_766963_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hotimsk.gov.by/dfiles/000447_766963_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hotimsk.gov.by/dfiles/000447_766963_.doc" TargetMode="External"/><Relationship Id="rId5" Type="http://schemas.openxmlformats.org/officeDocument/2006/relationships/hyperlink" Target="http://khotimsk.gov.by/dfiles/000447_766963_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Nik</cp:lastModifiedBy>
  <cp:revision>2</cp:revision>
  <cp:lastPrinted>2019-05-30T11:27:00Z</cp:lastPrinted>
  <dcterms:created xsi:type="dcterms:W3CDTF">2019-06-03T08:02:00Z</dcterms:created>
  <dcterms:modified xsi:type="dcterms:W3CDTF">2019-06-03T08:02:00Z</dcterms:modified>
</cp:coreProperties>
</file>