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3707" w14:textId="77777777" w:rsidR="00C50EF3" w:rsidRPr="00C50EF3" w:rsidRDefault="00C50EF3" w:rsidP="00C50EF3">
      <w:pPr>
        <w:spacing w:before="120"/>
        <w:jc w:val="center"/>
        <w:rPr>
          <w:rFonts w:ascii="Times New Roman" w:eastAsia="Times New Roman" w:hAnsi="Times New Roman" w:cs="Times New Roman"/>
          <w:b/>
          <w:bCs/>
          <w:szCs w:val="30"/>
          <w:lang w:eastAsia="ru-BY"/>
        </w:rPr>
      </w:pPr>
      <w:bookmarkStart w:id="0" w:name="_Hlk141446457"/>
      <w:r w:rsidRPr="00C50EF3">
        <w:rPr>
          <w:rFonts w:ascii="Times New Roman" w:eastAsia="Times New Roman" w:hAnsi="Times New Roman" w:cs="Times New Roman"/>
          <w:b/>
          <w:bCs/>
          <w:szCs w:val="30"/>
          <w:lang w:eastAsia="ru-BY"/>
        </w:rPr>
        <w:t>3.14.1. Согласование проектной документации на строительство, изменений в проектную документацию, требующих ее повторного утверждения</w:t>
      </w:r>
    </w:p>
    <w:p w14:paraId="20682E77" w14:textId="0B3B6D56" w:rsidR="005C760E" w:rsidRDefault="005C760E" w:rsidP="00565D43">
      <w:pPr>
        <w:jc w:val="center"/>
        <w:rPr>
          <w:rFonts w:ascii="Times New Roman" w:hAnsi="Times New Roman" w:cs="Times New Roman"/>
          <w:b/>
          <w:szCs w:val="30"/>
        </w:rPr>
      </w:pPr>
    </w:p>
    <w:p w14:paraId="0FAB9B65" w14:textId="77777777" w:rsidR="00D96245" w:rsidRPr="00D96245" w:rsidRDefault="00D96245" w:rsidP="00D96245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 w:rsidRPr="00D96245">
        <w:rPr>
          <w:rFonts w:ascii="Times New Roman" w:eastAsia="Times New Roman" w:hAnsi="Times New Roman" w:cs="Times New Roman"/>
          <w:bCs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575332E" w14:textId="77777777" w:rsidR="00D96245" w:rsidRPr="00D96245" w:rsidRDefault="00D96245" w:rsidP="00D96245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 w:rsidRPr="00D96245">
        <w:rPr>
          <w:rFonts w:ascii="Times New Roman" w:eastAsia="Times New Roman" w:hAnsi="Times New Roman" w:cs="Times New Roman"/>
          <w:bCs/>
          <w:szCs w:val="30"/>
          <w:lang w:eastAsia="ru-RU"/>
        </w:rPr>
        <w:t>тел. 801713 60158, 142)</w:t>
      </w:r>
    </w:p>
    <w:p w14:paraId="3C393C1C" w14:textId="77777777" w:rsidR="00D96245" w:rsidRPr="00D96245" w:rsidRDefault="00D96245" w:rsidP="00D96245">
      <w:pPr>
        <w:jc w:val="left"/>
        <w:rPr>
          <w:rFonts w:ascii="Times New Roman" w:eastAsia="Times New Roman" w:hAnsi="Times New Roman" w:cs="Times New Roman"/>
          <w:szCs w:val="30"/>
          <w:lang w:eastAsia="ru-BY"/>
        </w:rPr>
      </w:pPr>
      <w:r w:rsidRPr="00D96245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Режим работы:</w:t>
      </w:r>
    </w:p>
    <w:p w14:paraId="7AC3D430" w14:textId="77777777" w:rsidR="00D96245" w:rsidRPr="00D96245" w:rsidRDefault="00D96245" w:rsidP="00D96245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96245">
        <w:rPr>
          <w:rFonts w:ascii="Times New Roman" w:eastAsia="Times New Roman" w:hAnsi="Times New Roman" w:cs="Times New Roman"/>
          <w:szCs w:val="30"/>
          <w:lang w:eastAsia="ru-RU"/>
        </w:rPr>
        <w:t xml:space="preserve">в будние дни (кроме среды) </w:t>
      </w:r>
      <w:r w:rsidRPr="00D96245">
        <w:rPr>
          <w:rFonts w:ascii="Times New Roman" w:eastAsia="Times New Roman" w:hAnsi="Times New Roman" w:cs="Times New Roman"/>
          <w:szCs w:val="30"/>
          <w:lang w:eastAsia="ru-RU"/>
        </w:rPr>
        <w:noBreakHyphen/>
        <w:t xml:space="preserve"> с 8.00 до 17.30;</w:t>
      </w:r>
    </w:p>
    <w:p w14:paraId="45B0235B" w14:textId="77777777" w:rsidR="00D96245" w:rsidRPr="00D96245" w:rsidRDefault="00D96245" w:rsidP="00D96245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96245">
        <w:rPr>
          <w:rFonts w:ascii="Times New Roman" w:eastAsia="Times New Roman" w:hAnsi="Times New Roman" w:cs="Times New Roman"/>
          <w:szCs w:val="30"/>
          <w:lang w:eastAsia="ru-RU"/>
        </w:rPr>
        <w:t>в среду с 8.00 до 20.00;</w:t>
      </w:r>
    </w:p>
    <w:p w14:paraId="114945E2" w14:textId="77777777" w:rsidR="00D96245" w:rsidRPr="00D96245" w:rsidRDefault="00D96245" w:rsidP="00D96245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96245">
        <w:rPr>
          <w:rFonts w:ascii="Times New Roman" w:eastAsia="Times New Roman" w:hAnsi="Times New Roman" w:cs="Times New Roman"/>
          <w:szCs w:val="30"/>
          <w:lang w:eastAsia="ru-RU"/>
        </w:rPr>
        <w:t>в субботу с 9.00 до 13.00</w:t>
      </w:r>
    </w:p>
    <w:p w14:paraId="430AB130" w14:textId="77777777" w:rsidR="00D96245" w:rsidRPr="00D96245" w:rsidRDefault="00D96245" w:rsidP="00D96245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96245">
        <w:rPr>
          <w:rFonts w:ascii="Times New Roman" w:eastAsia="Times New Roman" w:hAnsi="Times New Roman" w:cs="Times New Roman"/>
          <w:szCs w:val="30"/>
          <w:lang w:eastAsia="ru-RU"/>
        </w:rPr>
        <w:t>В предпраздничные дни рабочее время сокращено на 1 час.</w:t>
      </w:r>
    </w:p>
    <w:p w14:paraId="0C3C6039" w14:textId="77777777" w:rsidR="00D96245" w:rsidRPr="00D96245" w:rsidRDefault="00D96245" w:rsidP="00D96245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96245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выходные дни :</w:t>
      </w:r>
      <w:r w:rsidRPr="00D96245">
        <w:rPr>
          <w:rFonts w:ascii="Times New Roman" w:eastAsia="Times New Roman" w:hAnsi="Times New Roman" w:cs="Times New Roman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F462FAF" w14:textId="77777777" w:rsidR="00C50EF3" w:rsidRDefault="00C50EF3" w:rsidP="00C50EF3">
      <w:pPr>
        <w:jc w:val="center"/>
        <w:rPr>
          <w:rFonts w:ascii="Times New Roman" w:hAnsi="Times New Roman" w:cs="Times New Roman"/>
          <w:b/>
          <w:szCs w:val="30"/>
        </w:rPr>
      </w:pPr>
    </w:p>
    <w:p w14:paraId="6D51A769" w14:textId="77777777" w:rsidR="00A175B9" w:rsidRPr="00F97271" w:rsidRDefault="00A175B9" w:rsidP="00A175B9">
      <w:pPr>
        <w:spacing w:line="300" w:lineRule="exact"/>
        <w:jc w:val="center"/>
        <w:rPr>
          <w:rFonts w:ascii="Times New Roman" w:hAnsi="Times New Roman" w:cs="Times New Roman"/>
          <w:b/>
          <w:szCs w:val="30"/>
        </w:rPr>
      </w:pPr>
      <w:r w:rsidRPr="00F97271">
        <w:rPr>
          <w:rFonts w:ascii="Times New Roman" w:hAnsi="Times New Roman" w:cs="Times New Roman"/>
          <w:b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48FA673" w14:textId="77777777" w:rsidR="00C50EF3" w:rsidRDefault="00C50EF3" w:rsidP="00C50EF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35ECEE27" w14:textId="30EA48D7" w:rsidR="00C50EF3" w:rsidRDefault="00C50EF3" w:rsidP="00C50EF3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50EF3">
        <w:rPr>
          <w:rFonts w:ascii="Times New Roman" w:hAnsi="Times New Roman" w:cs="Times New Roman"/>
          <w:bCs/>
          <w:sz w:val="28"/>
          <w:szCs w:val="28"/>
        </w:rPr>
        <w:t>аявление</w:t>
      </w:r>
    </w:p>
    <w:p w14:paraId="15798C44" w14:textId="77777777" w:rsidR="00C50EF3" w:rsidRPr="00C50EF3" w:rsidRDefault="00C50EF3" w:rsidP="00C50EF3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8B2BD3B" w14:textId="089F6D54" w:rsidR="00C50EF3" w:rsidRDefault="00C50EF3" w:rsidP="00C50EF3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50EF3">
        <w:rPr>
          <w:rFonts w:ascii="Times New Roman" w:hAnsi="Times New Roman" w:cs="Times New Roman"/>
          <w:bCs/>
          <w:sz w:val="28"/>
          <w:szCs w:val="28"/>
        </w:rPr>
        <w:t>проектная документация</w:t>
      </w:r>
    </w:p>
    <w:p w14:paraId="6731EF5A" w14:textId="77777777" w:rsidR="00C50EF3" w:rsidRDefault="00C50EF3" w:rsidP="00C50EF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4C122393" w14:textId="77777777" w:rsidR="00C50EF3" w:rsidRDefault="00C50EF3" w:rsidP="00C50EF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6EEB9F82" w14:textId="77777777" w:rsidR="00C50EF3" w:rsidRPr="00EF4FF7" w:rsidRDefault="00C50EF3" w:rsidP="00C50EF3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>
        <w:rPr>
          <w:rFonts w:ascii="Times New Roman" w:eastAsia="Times New Roman" w:hAnsi="Times New Roman" w:cs="Times New Roman"/>
          <w:szCs w:val="30"/>
          <w:lang w:eastAsia="ru-BY"/>
        </w:rPr>
        <w:t>не запрашиваются</w:t>
      </w:r>
    </w:p>
    <w:p w14:paraId="605327A6" w14:textId="77777777" w:rsidR="00C50EF3" w:rsidRDefault="00C50EF3" w:rsidP="00C50EF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7124FB05" w14:textId="77777777" w:rsidR="00C50EF3" w:rsidRPr="00FC2946" w:rsidRDefault="00C50EF3" w:rsidP="00C50EF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Максимальный срок</w:t>
      </w:r>
    </w:p>
    <w:p w14:paraId="32BEE85A" w14:textId="77777777" w:rsidR="00C50EF3" w:rsidRPr="00FC2946" w:rsidRDefault="00C50EF3" w:rsidP="00C50EF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60E49025" w14:textId="77777777" w:rsidR="00C50EF3" w:rsidRDefault="00C50EF3" w:rsidP="00C50EF3">
      <w:pPr>
        <w:tabs>
          <w:tab w:val="left" w:pos="600"/>
        </w:tabs>
        <w:spacing w:line="320" w:lineRule="exact"/>
        <w:jc w:val="center"/>
        <w:rPr>
          <w:rFonts w:ascii="Open Sans" w:hAnsi="Open Sans" w:cs="Open Sans"/>
          <w:color w:val="404040"/>
          <w:sz w:val="28"/>
          <w:szCs w:val="28"/>
          <w:shd w:val="clear" w:color="auto" w:fill="F8F8F8"/>
        </w:rPr>
      </w:pPr>
    </w:p>
    <w:p w14:paraId="2A64B263" w14:textId="4C016EA4" w:rsidR="00C50EF3" w:rsidRPr="00C50EF3" w:rsidRDefault="00C50EF3" w:rsidP="00C50EF3">
      <w:pPr>
        <w:tabs>
          <w:tab w:val="left" w:pos="600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50EF3">
        <w:rPr>
          <w:rFonts w:ascii="Times New Roman" w:hAnsi="Times New Roman" w:cs="Times New Roman"/>
          <w:sz w:val="28"/>
          <w:szCs w:val="28"/>
        </w:rPr>
        <w:t>15 дней, а при необходимости проведения дополнительной проверки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0EF3">
        <w:rPr>
          <w:rFonts w:ascii="Times New Roman" w:hAnsi="Times New Roman" w:cs="Times New Roman"/>
          <w:sz w:val="28"/>
          <w:szCs w:val="28"/>
        </w:rPr>
        <w:t xml:space="preserve">выездом на место, большого объема работ для изучения – 1 месяц </w:t>
      </w:r>
    </w:p>
    <w:p w14:paraId="72C7C06E" w14:textId="77777777" w:rsidR="00C50EF3" w:rsidRDefault="00C50EF3" w:rsidP="00C50EF3">
      <w:pPr>
        <w:tabs>
          <w:tab w:val="left" w:pos="600"/>
        </w:tabs>
        <w:spacing w:line="320" w:lineRule="exact"/>
        <w:jc w:val="center"/>
        <w:rPr>
          <w:rFonts w:ascii="Open Sans" w:hAnsi="Open Sans" w:cs="Open Sans"/>
          <w:color w:val="404040"/>
          <w:sz w:val="28"/>
          <w:szCs w:val="28"/>
          <w:shd w:val="clear" w:color="auto" w:fill="F8F8F8"/>
        </w:rPr>
      </w:pPr>
    </w:p>
    <w:p w14:paraId="742E3558" w14:textId="77777777" w:rsidR="00C50EF3" w:rsidRPr="0077194C" w:rsidRDefault="00C50EF3" w:rsidP="00C50EF3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4C">
        <w:rPr>
          <w:rFonts w:ascii="Times New Roman" w:hAnsi="Times New Roman" w:cs="Times New Roman"/>
          <w:b/>
          <w:sz w:val="32"/>
          <w:szCs w:val="32"/>
        </w:rPr>
        <w:t>Размер платы,</w:t>
      </w:r>
    </w:p>
    <w:p w14:paraId="2BC154B3" w14:textId="77777777" w:rsidR="00C50EF3" w:rsidRPr="00FC2946" w:rsidRDefault="00C50EF3" w:rsidP="00C50EF3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32DB27E0" w14:textId="77777777" w:rsidR="00C50EF3" w:rsidRPr="0077194C" w:rsidRDefault="00C50EF3" w:rsidP="00C50EF3">
      <w:pPr>
        <w:tabs>
          <w:tab w:val="left" w:pos="600"/>
        </w:tabs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бесплатно</w:t>
      </w:r>
    </w:p>
    <w:p w14:paraId="1C9595D8" w14:textId="77777777" w:rsidR="00C50EF3" w:rsidRPr="00FC2946" w:rsidRDefault="00C50EF3" w:rsidP="00C50EF3">
      <w:pPr>
        <w:tabs>
          <w:tab w:val="left" w:pos="600"/>
        </w:tabs>
        <w:spacing w:line="320" w:lineRule="exact"/>
        <w:rPr>
          <w:rFonts w:ascii="Times New Roman" w:hAnsi="Times New Roman" w:cs="Times New Roman"/>
          <w:szCs w:val="30"/>
        </w:rPr>
      </w:pPr>
    </w:p>
    <w:p w14:paraId="31A22E4D" w14:textId="77777777" w:rsidR="00C50EF3" w:rsidRPr="00FC2946" w:rsidRDefault="00C50EF3" w:rsidP="00C50EF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35D7079B" w14:textId="77777777" w:rsidR="00C50EF3" w:rsidRPr="000549E2" w:rsidRDefault="00C50EF3" w:rsidP="00C50EF3">
      <w:pPr>
        <w:rPr>
          <w:rFonts w:ascii="Times New Roman" w:hAnsi="Times New Roman" w:cs="Times New Roman"/>
          <w:sz w:val="28"/>
          <w:szCs w:val="28"/>
        </w:rPr>
      </w:pPr>
    </w:p>
    <w:p w14:paraId="154B91AA" w14:textId="77777777" w:rsidR="00C50EF3" w:rsidRPr="000549E2" w:rsidRDefault="00C50EF3" w:rsidP="00C50EF3">
      <w:pPr>
        <w:rPr>
          <w:rFonts w:ascii="Times New Roman" w:hAnsi="Times New Roman" w:cs="Times New Roman"/>
          <w:sz w:val="28"/>
          <w:szCs w:val="28"/>
        </w:rPr>
      </w:pPr>
      <w:r w:rsidRPr="000549E2">
        <w:rPr>
          <w:rFonts w:ascii="Times New Roman" w:hAnsi="Times New Roman" w:cs="Times New Roman"/>
          <w:sz w:val="28"/>
          <w:szCs w:val="28"/>
        </w:rPr>
        <w:t>бессрочно</w:t>
      </w:r>
    </w:p>
    <w:p w14:paraId="01DE417B" w14:textId="6DFE576D" w:rsidR="00C50EF3" w:rsidRDefault="00C50EF3" w:rsidP="00565D43">
      <w:pPr>
        <w:jc w:val="center"/>
        <w:rPr>
          <w:rFonts w:ascii="Times New Roman" w:hAnsi="Times New Roman" w:cs="Times New Roman"/>
          <w:b/>
          <w:szCs w:val="30"/>
        </w:rPr>
      </w:pPr>
    </w:p>
    <w:p w14:paraId="57C8B8F1" w14:textId="77777777" w:rsidR="00C50EF3" w:rsidRDefault="00C50EF3" w:rsidP="00565D43">
      <w:pPr>
        <w:jc w:val="center"/>
        <w:rPr>
          <w:rFonts w:ascii="Times New Roman" w:hAnsi="Times New Roman" w:cs="Times New Roman"/>
          <w:b/>
          <w:szCs w:val="30"/>
        </w:rPr>
      </w:pPr>
    </w:p>
    <w:bookmarkEnd w:id="0"/>
    <w:p w14:paraId="72669919" w14:textId="77777777" w:rsidR="00C50EF3" w:rsidRPr="00C50EF3" w:rsidRDefault="00C50EF3" w:rsidP="00C50EF3">
      <w:pPr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t>ПОСТАНОВЛЕНИЕ МИНИСТЕРСТВА АРХИТЕКТУРЫ И СТРОИТЕЛЬСТВА РЕСПУБЛИКИ БЕЛАРУСЬ</w:t>
      </w:r>
    </w:p>
    <w:p w14:paraId="650C5362" w14:textId="77777777" w:rsidR="00C50EF3" w:rsidRPr="00C50EF3" w:rsidRDefault="00C50EF3" w:rsidP="00C50EF3">
      <w:pPr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27 января 2022 г. № 9</w:t>
      </w:r>
    </w:p>
    <w:p w14:paraId="24E7C7D2" w14:textId="77777777" w:rsidR="00C50EF3" w:rsidRPr="00C50EF3" w:rsidRDefault="00C50EF3" w:rsidP="00C50EF3">
      <w:pPr>
        <w:spacing w:before="240" w:after="240"/>
        <w:ind w:right="226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C50EF3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регламента административной процедуры</w:t>
      </w:r>
    </w:p>
    <w:p w14:paraId="6AE9885F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5" w:anchor="&amp;Point=3" w:history="1">
        <w:r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6" w:anchor="Заг_Утв_1&amp;Point=5&amp;UnderPoint=5.6" w:history="1">
        <w:r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5.6</w:t>
        </w:r>
      </w:hyperlink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5 Положения о Министерстве архитектуры и строительства Республики Беларусь, утвержденного постановлением Совета Министров Республики Беларусь от 31 июля 2006 г. № 973, Министерство архитектуры и строительства Республики Беларусь ПОСТАНОВЛЯЕТ:</w:t>
      </w:r>
    </w:p>
    <w:p w14:paraId="1C21907C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 Утвердить </w:t>
      </w:r>
      <w:hyperlink r:id="rId7" w:anchor="Заг_Утв_1" w:history="1">
        <w:r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 подпункту* 3.14.1 «Согласование проектной документации на строительство, изменений в проектную документацию, требующих ее повторного утверждения» (прилагается).</w:t>
      </w:r>
    </w:p>
    <w:p w14:paraId="4EB0B525" w14:textId="77777777" w:rsidR="00C50EF3" w:rsidRPr="00C50EF3" w:rsidRDefault="00C50EF3" w:rsidP="00C50EF3">
      <w:pPr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6C222CF2" w14:textId="77777777" w:rsidR="00C50EF3" w:rsidRPr="00C50EF3" w:rsidRDefault="00C50EF3" w:rsidP="00C50EF3">
      <w:pPr>
        <w:spacing w:after="240"/>
        <w:ind w:firstLine="567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 Для целей настоящего постановления под подпунктом понимается подпункт пункта </w:t>
      </w:r>
      <w:hyperlink r:id="rId8" w:anchor="Заг_Утв_1" w:history="1">
        <w:r w:rsidRPr="00C50EF3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C50EF3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6233E51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после его официального опубликования.</w:t>
      </w:r>
    </w:p>
    <w:p w14:paraId="411A93C0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0EF3" w:rsidRPr="00C50EF3" w14:paraId="7726426D" w14:textId="77777777" w:rsidTr="00C50E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2FD00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b/>
                <w:bCs/>
                <w:sz w:val="22"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D0B116" w14:textId="77777777" w:rsidR="00C50EF3" w:rsidRPr="00C50EF3" w:rsidRDefault="00C50EF3" w:rsidP="00C50E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C50EF3">
              <w:rPr>
                <w:rFonts w:ascii="Times New Roman" w:eastAsia="Times New Roman" w:hAnsi="Times New Roman" w:cs="Times New Roman"/>
                <w:b/>
                <w:bCs/>
                <w:sz w:val="22"/>
                <w:lang w:val="ru-BY" w:eastAsia="ru-BY"/>
              </w:rPr>
              <w:t>Р.В.Пархамович</w:t>
            </w:r>
            <w:proofErr w:type="spellEnd"/>
          </w:p>
        </w:tc>
      </w:tr>
    </w:tbl>
    <w:p w14:paraId="11CF3A99" w14:textId="77777777" w:rsidR="00C50EF3" w:rsidRPr="00C50EF3" w:rsidRDefault="00C50EF3" w:rsidP="00C50EF3">
      <w:pPr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607C1BE" w14:textId="77777777" w:rsidR="00C50EF3" w:rsidRPr="00C50EF3" w:rsidRDefault="00C50EF3" w:rsidP="00C50EF3">
      <w:pPr>
        <w:spacing w:after="28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СОГЛАСОВАНО</w:t>
      </w:r>
    </w:p>
    <w:p w14:paraId="02A07EC7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Министерство экономики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Республики Беларусь</w:t>
      </w:r>
    </w:p>
    <w:p w14:paraId="622C4938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Брестский областной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исполнительный комитет</w:t>
      </w:r>
    </w:p>
    <w:p w14:paraId="5801DAA3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Витебский областной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исполнительный комитет</w:t>
      </w:r>
    </w:p>
    <w:p w14:paraId="5A2D8245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Гомельский областной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исполнительный комитет</w:t>
      </w:r>
    </w:p>
    <w:p w14:paraId="1EEB6FDA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Гродненский областной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исполнительный комитет</w:t>
      </w:r>
    </w:p>
    <w:p w14:paraId="492ECF6B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Минский областной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исполнительный комитет</w:t>
      </w:r>
    </w:p>
    <w:p w14:paraId="23D811D1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Минский городской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исполнительный комитет</w:t>
      </w:r>
    </w:p>
    <w:p w14:paraId="33303F84" w14:textId="77777777" w:rsidR="00C50EF3" w:rsidRPr="00C50EF3" w:rsidRDefault="00C50EF3" w:rsidP="00C50EF3">
      <w:pPr>
        <w:spacing w:after="120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Могилевский областной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исполнительный комитет</w:t>
      </w:r>
    </w:p>
    <w:p w14:paraId="5D017475" w14:textId="77777777" w:rsidR="00C50EF3" w:rsidRPr="00C50EF3" w:rsidRDefault="00C50EF3" w:rsidP="00C50EF3">
      <w:pPr>
        <w:spacing w:after="28"/>
        <w:jc w:val="left"/>
        <w:rPr>
          <w:rFonts w:ascii="Times New Roman" w:eastAsia="Times New Roman" w:hAnsi="Times New Roman" w:cs="Times New Roman"/>
          <w:sz w:val="22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t>Государственное учреждение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«Администрация Китайско-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Белорусского индустриального</w:t>
      </w:r>
      <w:r w:rsidRPr="00C50EF3">
        <w:rPr>
          <w:rFonts w:ascii="Times New Roman" w:eastAsia="Times New Roman" w:hAnsi="Times New Roman" w:cs="Times New Roman"/>
          <w:sz w:val="22"/>
          <w:lang w:val="ru-BY" w:eastAsia="ru-BY"/>
        </w:rPr>
        <w:br/>
        <w:t>парка «Великий камень»</w:t>
      </w:r>
    </w:p>
    <w:p w14:paraId="1BDD8D9D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C50EF3" w:rsidRPr="00C50EF3" w14:paraId="3B2DFF69" w14:textId="77777777" w:rsidTr="00C50EF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8319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81F5C" w14:textId="77777777" w:rsidR="00C50EF3" w:rsidRPr="00C50EF3" w:rsidRDefault="00C50EF3" w:rsidP="00C50EF3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bookmarkStart w:id="1" w:name="Утв_1"/>
            <w:bookmarkEnd w:id="1"/>
            <w:r w:rsidRPr="00C50EF3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УТВЕРЖДЕНО</w:t>
            </w:r>
          </w:p>
          <w:p w14:paraId="0CE7FEFE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lastRenderedPageBreak/>
              <w:t>Постановление</w:t>
            </w:r>
            <w:r w:rsidRPr="00C50EF3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Министерства архитектуры</w:t>
            </w:r>
            <w:r w:rsidRPr="00C50EF3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и строительства</w:t>
            </w:r>
            <w:r w:rsidRPr="00C50EF3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Республики Беларусь</w:t>
            </w:r>
            <w:r w:rsidRPr="00C50EF3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27.01.2022 № 9</w:t>
            </w:r>
          </w:p>
        </w:tc>
      </w:tr>
    </w:tbl>
    <w:p w14:paraId="6EAC2E44" w14:textId="77777777" w:rsidR="00C50EF3" w:rsidRPr="00C50EF3" w:rsidRDefault="00C50EF3" w:rsidP="00C50EF3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" w:name="Заг_Утв_1"/>
      <w:bookmarkEnd w:id="2"/>
      <w:r w:rsidRPr="00C50EF3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C50EF3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3.14.1 «Согласование проектной документации на строительство, изменений в проектную документацию, требующих ее повторного утверждения»</w:t>
      </w:r>
    </w:p>
    <w:p w14:paraId="5E77DFB6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7CE3072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комитет по архитектуре и строительству областного исполнительного комитета, комитет архитектуры и градостроительства Минского городского исполнительного комитета, управление, отдел архитектуры и градостроительства городского исполнительного комитета (в городах областного подчинения), отдел архитектуры и строительства районного исполнительного комитета, отдел архитектуры и градостроительства администрации района в г. Минске (далее – территориальное подразделение архитектуры и градостроительства), государственное учреждение «Администрация Китайско-Белорусского индустриального парка «Великий камень»;</w:t>
      </w:r>
    </w:p>
    <w:p w14:paraId="7C254B65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CA548F" w14:textId="77777777" w:rsidR="00C50EF3" w:rsidRPr="00C50EF3" w:rsidRDefault="00D96245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history="1">
        <w:r w:rsidR="00C50EF3"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C50EF3"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161AB6F6" w14:textId="77777777" w:rsidR="00C50EF3" w:rsidRPr="00C50EF3" w:rsidRDefault="00D96245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" w:history="1">
        <w:r w:rsidR="00C50EF3"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C50EF3"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9E9BA03" w14:textId="77777777" w:rsidR="00C50EF3" w:rsidRPr="00C50EF3" w:rsidRDefault="00D96245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history="1">
        <w:r w:rsidR="00C50EF3"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C50EF3"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691B2DF" w14:textId="77777777" w:rsidR="00C50EF3" w:rsidRPr="00C50EF3" w:rsidRDefault="00D96245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history="1">
        <w:r w:rsidR="00C50EF3"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 8 октября 2008 г. № 1476</w:t>
        </w:r>
      </w:hyperlink>
      <w:r w:rsidR="00C50EF3"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14:paraId="0E87EE2E" w14:textId="77777777" w:rsidR="00C50EF3" w:rsidRPr="00C50EF3" w:rsidRDefault="00D96245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history="1">
        <w:r w:rsidR="00C50EF3"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C50EF3"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FC91409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 административные решения, принятые комитетом архитектуры и градостроительства Минского городского исполнительного комитета, комитетом по архитектуре и строительству областного исполнительного комитета,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30124F06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96E6408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3134"/>
        <w:gridCol w:w="3816"/>
      </w:tblGrid>
      <w:tr w:rsidR="00C50EF3" w:rsidRPr="00C50EF3" w14:paraId="313EF6FB" w14:textId="77777777" w:rsidTr="00C50EF3">
        <w:trPr>
          <w:trHeight w:val="240"/>
        </w:trPr>
        <w:tc>
          <w:tcPr>
            <w:tcW w:w="12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0725B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2FD2AB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1BA26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50EF3" w:rsidRPr="00C50EF3" w14:paraId="5CB6CB00" w14:textId="77777777" w:rsidTr="00C50EF3">
        <w:trPr>
          <w:trHeight w:val="240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D758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" w:name="_Hlk145324814"/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334D8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4" w:anchor="&amp;Article=14&amp;Point=5" w:history="1">
              <w:r w:rsidRPr="00C50EF3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F0F33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территориальное подразделение архитектуры и градостроительства – в письменной форме: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 почте,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(курьером),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 – в письменной форме: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почте,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(курьером),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50EF3" w:rsidRPr="00C50EF3" w14:paraId="55E05162" w14:textId="77777777" w:rsidTr="00C50EF3">
        <w:trPr>
          <w:trHeight w:val="240"/>
        </w:trPr>
        <w:tc>
          <w:tcPr>
            <w:tcW w:w="12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6B708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проектная документация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8ADAA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2AFAB2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3"/>
    <w:p w14:paraId="199F0AD3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56EFB8D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" w:anchor="&amp;Article=15&amp;Point=2" w:history="1">
        <w:r w:rsidRPr="00C50EF3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0DB4FADC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088AF5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2387"/>
        <w:gridCol w:w="3409"/>
      </w:tblGrid>
      <w:tr w:rsidR="00C50EF3" w:rsidRPr="00C50EF3" w14:paraId="027568CE" w14:textId="77777777" w:rsidTr="00C50EF3">
        <w:trPr>
          <w:trHeight w:val="240"/>
        </w:trPr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7CC52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62E3E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8F32A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50EF3" w:rsidRPr="00C50EF3" w14:paraId="281D122C" w14:textId="77777777" w:rsidTr="00C50EF3">
        <w:trPr>
          <w:trHeight w:val="240"/>
        </w:trPr>
        <w:tc>
          <w:tcPr>
            <w:tcW w:w="18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5271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письмо о согласовании проектной документации, изменений в проектную документацию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1AE51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92E2B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4EE0B2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30F0E24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39E501F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B749552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183"/>
      </w:tblGrid>
      <w:tr w:rsidR="00C50EF3" w:rsidRPr="00C50EF3" w14:paraId="1B6C57F1" w14:textId="77777777" w:rsidTr="00C50EF3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13F62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96F37" w14:textId="77777777" w:rsidR="00C50EF3" w:rsidRPr="00C50EF3" w:rsidRDefault="00C50EF3" w:rsidP="00C50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50EF3" w:rsidRPr="00C50EF3" w14:paraId="36B66E9B" w14:textId="77777777" w:rsidTr="00C50EF3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66C8E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управлением, отделом архитектуры и градостроительства городского исполнительного комитета (в городах областного подчинения), отделом архитектуры и строительства районного исполнительного комитета;</w:t>
            </w: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Минский городской исполнительный комитет – по административному решению, принятому отделом архитектуры и градостроительства администрации района в г. Минске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F3950" w14:textId="77777777" w:rsidR="00C50EF3" w:rsidRPr="00C50EF3" w:rsidRDefault="00C50EF3" w:rsidP="00C50E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50EF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FBE0129" w14:textId="77777777" w:rsidR="00C50EF3" w:rsidRPr="00C50EF3" w:rsidRDefault="00C50EF3" w:rsidP="00C50EF3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50EF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4549095" w14:textId="77777777" w:rsidR="00C50EF3" w:rsidRPr="00C50EF3" w:rsidRDefault="00C50EF3" w:rsidP="00C50EF3">
      <w:pPr>
        <w:pStyle w:val="newncpi0"/>
        <w:spacing w:before="0" w:beforeAutospacing="0" w:after="0" w:afterAutospacing="0"/>
        <w:rPr>
          <w:rStyle w:val="name"/>
          <w:caps/>
          <w:color w:val="000000"/>
          <w:sz w:val="28"/>
          <w:szCs w:val="28"/>
        </w:rPr>
      </w:pPr>
    </w:p>
    <w:sectPr w:rsidR="00C50EF3" w:rsidRPr="00C5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A97"/>
    <w:multiLevelType w:val="multilevel"/>
    <w:tmpl w:val="451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D5924"/>
    <w:multiLevelType w:val="multilevel"/>
    <w:tmpl w:val="F12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3"/>
    <w:rsid w:val="0010040D"/>
    <w:rsid w:val="00565D43"/>
    <w:rsid w:val="005A38DE"/>
    <w:rsid w:val="005C760E"/>
    <w:rsid w:val="005E342B"/>
    <w:rsid w:val="00A175B9"/>
    <w:rsid w:val="00AE7F10"/>
    <w:rsid w:val="00C50EF3"/>
    <w:rsid w:val="00D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3C9"/>
  <w15:chartTrackingRefBased/>
  <w15:docId w15:val="{0F3E33BC-F42D-4DA1-91A4-1309888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43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D43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">
    <w:name w:val="article"/>
    <w:basedOn w:val="a"/>
    <w:rsid w:val="00565D43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5C760E"/>
    <w:pPr>
      <w:jc w:val="lef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5E342B"/>
    <w:rPr>
      <w:color w:val="0000FF"/>
      <w:u w:val="single"/>
    </w:rPr>
  </w:style>
  <w:style w:type="paragraph" w:customStyle="1" w:styleId="ConsNonformat">
    <w:name w:val="ConsNonformat"/>
    <w:rsid w:val="005E3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5E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itlep">
    <w:name w:val="titlep"/>
    <w:basedOn w:val="a"/>
    <w:rsid w:val="005E342B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5A38DE"/>
  </w:style>
  <w:style w:type="character" w:customStyle="1" w:styleId="promulgator">
    <w:name w:val="promulgator"/>
    <w:basedOn w:val="a0"/>
    <w:rsid w:val="005A38DE"/>
  </w:style>
  <w:style w:type="paragraph" w:customStyle="1" w:styleId="newncpi">
    <w:name w:val="newncpi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5A38DE"/>
  </w:style>
  <w:style w:type="character" w:customStyle="1" w:styleId="number">
    <w:name w:val="number"/>
    <w:basedOn w:val="a0"/>
    <w:rsid w:val="005A38DE"/>
  </w:style>
  <w:style w:type="paragraph" w:customStyle="1" w:styleId="titlencpi">
    <w:name w:val="titlencpi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oint">
    <w:name w:val="point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line">
    <w:name w:val="snoskiline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5A38DE"/>
  </w:style>
  <w:style w:type="character" w:customStyle="1" w:styleId="pers">
    <w:name w:val="pers"/>
    <w:basedOn w:val="a0"/>
    <w:rsid w:val="005A38DE"/>
  </w:style>
  <w:style w:type="paragraph" w:customStyle="1" w:styleId="agree">
    <w:name w:val="agree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u1">
    <w:name w:val="capu1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u">
    <w:name w:val="titleu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A38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C22100548" TargetMode="External"/><Relationship Id="rId13" Type="http://schemas.openxmlformats.org/officeDocument/2006/relationships/hyperlink" Target="http://www.pravo.by/webnpa/text.asp?RN=C2210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by/webnpa/" TargetMode="External"/><Relationship Id="rId12" Type="http://schemas.openxmlformats.org/officeDocument/2006/relationships/hyperlink" Target="http://www.pravo.by/webnpa/text.asp?RN=C208014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.by/webnpa/text.asp?RN=C20600973" TargetMode="External"/><Relationship Id="rId11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P32100240" TargetMode="External"/><Relationship Id="rId15" Type="http://schemas.openxmlformats.org/officeDocument/2006/relationships/hyperlink" Target="http://www.pravo.by/webnpa/text.asp?RN=H10800433" TargetMode="External"/><Relationship Id="rId10" Type="http://schemas.openxmlformats.org/officeDocument/2006/relationships/hyperlink" Target="http://www.pravo.by/webnpa/text.asp?RN=P31700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text.asp?RN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dcterms:created xsi:type="dcterms:W3CDTF">2023-08-31T13:42:00Z</dcterms:created>
  <dcterms:modified xsi:type="dcterms:W3CDTF">2023-09-14T14:23:00Z</dcterms:modified>
</cp:coreProperties>
</file>